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F888" w14:textId="7B6BC6BB" w:rsidR="0042104B" w:rsidRDefault="0042104B" w:rsidP="005C0E6B">
      <w:pPr>
        <w:pStyle w:val="Default"/>
        <w:spacing w:line="276" w:lineRule="auto"/>
        <w:jc w:val="center"/>
        <w:rPr>
          <w:b/>
          <w:bCs/>
        </w:rPr>
      </w:pPr>
      <w:r>
        <w:rPr>
          <w:b/>
          <w:bCs/>
        </w:rPr>
        <w:t xml:space="preserve">                                               Item 4</w:t>
      </w:r>
    </w:p>
    <w:p w14:paraId="52D40D4F" w14:textId="77777777" w:rsidR="0042104B" w:rsidRDefault="0042104B" w:rsidP="005C0E6B">
      <w:pPr>
        <w:pStyle w:val="Default"/>
        <w:spacing w:line="276" w:lineRule="auto"/>
        <w:jc w:val="center"/>
        <w:rPr>
          <w:b/>
          <w:bCs/>
        </w:rPr>
      </w:pPr>
    </w:p>
    <w:p w14:paraId="704BBC52" w14:textId="3E155113" w:rsidR="00A8699B" w:rsidRPr="0042104B" w:rsidRDefault="0042104B" w:rsidP="005C0E6B">
      <w:pPr>
        <w:pStyle w:val="Default"/>
        <w:spacing w:line="276" w:lineRule="auto"/>
        <w:jc w:val="center"/>
        <w:rPr>
          <w:b/>
          <w:bCs/>
        </w:rPr>
      </w:pPr>
      <w:r w:rsidRPr="0042104B">
        <w:rPr>
          <w:b/>
          <w:bCs/>
        </w:rPr>
        <w:t xml:space="preserve">North Yorkshire, </w:t>
      </w:r>
      <w:proofErr w:type="gramStart"/>
      <w:r w:rsidRPr="0042104B">
        <w:rPr>
          <w:b/>
          <w:bCs/>
        </w:rPr>
        <w:t>York</w:t>
      </w:r>
      <w:proofErr w:type="gramEnd"/>
      <w:r w:rsidRPr="0042104B">
        <w:rPr>
          <w:b/>
          <w:bCs/>
        </w:rPr>
        <w:t xml:space="preserve"> and East Riding Housing Board</w:t>
      </w:r>
    </w:p>
    <w:p w14:paraId="24848D87" w14:textId="5032EF33" w:rsidR="00A8699B" w:rsidRDefault="0042104B" w:rsidP="005C0E6B">
      <w:pPr>
        <w:pStyle w:val="Default"/>
        <w:spacing w:line="276" w:lineRule="auto"/>
        <w:jc w:val="center"/>
        <w:rPr>
          <w:b/>
          <w:bCs/>
        </w:rPr>
      </w:pPr>
      <w:r>
        <w:rPr>
          <w:b/>
          <w:bCs/>
        </w:rPr>
        <w:t>20th</w:t>
      </w:r>
      <w:r w:rsidR="003770BE">
        <w:rPr>
          <w:b/>
          <w:bCs/>
        </w:rPr>
        <w:t xml:space="preserve"> September 2022</w:t>
      </w:r>
    </w:p>
    <w:p w14:paraId="4D0F6299" w14:textId="77777777" w:rsidR="0042104B" w:rsidRPr="00A8699B" w:rsidRDefault="0042104B" w:rsidP="005C0E6B">
      <w:pPr>
        <w:pStyle w:val="Default"/>
        <w:spacing w:line="276" w:lineRule="auto"/>
        <w:jc w:val="center"/>
      </w:pPr>
    </w:p>
    <w:p w14:paraId="0C3631B6" w14:textId="1D04033E" w:rsidR="00C1117D" w:rsidRPr="00FB628E" w:rsidRDefault="003770BE" w:rsidP="005C0E6B">
      <w:pPr>
        <w:spacing w:after="0"/>
        <w:jc w:val="center"/>
        <w:rPr>
          <w:rFonts w:ascii="Arial" w:hAnsi="Arial" w:cs="Arial"/>
          <w:b/>
          <w:bCs/>
          <w:sz w:val="24"/>
          <w:szCs w:val="24"/>
        </w:rPr>
      </w:pPr>
      <w:r>
        <w:rPr>
          <w:rFonts w:ascii="Arial" w:hAnsi="Arial" w:cs="Arial"/>
          <w:b/>
          <w:bCs/>
          <w:sz w:val="24"/>
          <w:szCs w:val="24"/>
        </w:rPr>
        <w:t>North Yorkshire Home Choice Lead Partner</w:t>
      </w:r>
    </w:p>
    <w:p w14:paraId="161DD967" w14:textId="77777777" w:rsidR="00A8699B" w:rsidRDefault="00A8699B" w:rsidP="005C0E6B">
      <w:pPr>
        <w:spacing w:after="0"/>
        <w:jc w:val="center"/>
        <w:rPr>
          <w:rFonts w:ascii="Arial" w:hAnsi="Arial" w:cs="Arial"/>
          <w:b/>
          <w:bCs/>
          <w:sz w:val="24"/>
          <w:szCs w:val="24"/>
        </w:rPr>
      </w:pPr>
      <w:r>
        <w:rPr>
          <w:rFonts w:ascii="Arial" w:hAnsi="Arial" w:cs="Arial"/>
          <w:b/>
          <w:bCs/>
          <w:noProof/>
          <w:sz w:val="24"/>
          <w:szCs w:val="24"/>
          <w:lang w:eastAsia="en-GB"/>
        </w:rPr>
        <mc:AlternateContent>
          <mc:Choice Requires="wps">
            <w:drawing>
              <wp:anchor distT="0" distB="0" distL="114300" distR="114300" simplePos="0" relativeHeight="251659264" behindDoc="0" locked="0" layoutInCell="1" allowOverlap="1" wp14:anchorId="007D9891" wp14:editId="0A150C0D">
                <wp:simplePos x="0" y="0"/>
                <wp:positionH relativeFrom="column">
                  <wp:posOffset>-99060</wp:posOffset>
                </wp:positionH>
                <wp:positionV relativeFrom="paragraph">
                  <wp:posOffset>195580</wp:posOffset>
                </wp:positionV>
                <wp:extent cx="5836920" cy="13868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5836920" cy="13868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144EF4" w14:textId="4AF051F2" w:rsidR="00A8699B" w:rsidRDefault="00A8699B" w:rsidP="005C0E6B">
                            <w:pPr>
                              <w:pStyle w:val="Default"/>
                              <w:numPr>
                                <w:ilvl w:val="0"/>
                                <w:numId w:val="1"/>
                              </w:numPr>
                              <w:spacing w:line="276" w:lineRule="auto"/>
                              <w:ind w:left="1077"/>
                              <w:rPr>
                                <w:b/>
                                <w:bCs/>
                              </w:rPr>
                            </w:pPr>
                            <w:r w:rsidRPr="00A8699B">
                              <w:rPr>
                                <w:b/>
                                <w:bCs/>
                              </w:rPr>
                              <w:t xml:space="preserve">Purpose of the Report </w:t>
                            </w:r>
                          </w:p>
                          <w:p w14:paraId="269E49D9" w14:textId="127640AF" w:rsidR="00E538DA" w:rsidRDefault="00F03CC3" w:rsidP="005C0E6B">
                            <w:pPr>
                              <w:pStyle w:val="Default"/>
                              <w:spacing w:line="276" w:lineRule="auto"/>
                              <w:ind w:left="1077"/>
                              <w:rPr>
                                <w:bCs/>
                              </w:rPr>
                            </w:pPr>
                            <w:r>
                              <w:rPr>
                                <w:bCs/>
                              </w:rPr>
                              <w:t>This report sets</w:t>
                            </w:r>
                            <w:r w:rsidR="00CF0F11">
                              <w:rPr>
                                <w:bCs/>
                              </w:rPr>
                              <w:t xml:space="preserve"> out</w:t>
                            </w:r>
                            <w:r w:rsidR="003770BE">
                              <w:rPr>
                                <w:bCs/>
                              </w:rPr>
                              <w:t xml:space="preserve"> the implications of City of York’s decision to leave </w:t>
                            </w:r>
                            <w:r w:rsidR="00CF0F11">
                              <w:rPr>
                                <w:bCs/>
                              </w:rPr>
                              <w:t xml:space="preserve">the </w:t>
                            </w:r>
                            <w:r w:rsidR="003770BE">
                              <w:rPr>
                                <w:bCs/>
                              </w:rPr>
                              <w:t xml:space="preserve">North Yorkshire Home Choice </w:t>
                            </w:r>
                            <w:r w:rsidR="00CF0F11">
                              <w:rPr>
                                <w:bCs/>
                              </w:rPr>
                              <w:t xml:space="preserve">Partnership </w:t>
                            </w:r>
                            <w:r w:rsidR="003770BE">
                              <w:rPr>
                                <w:bCs/>
                              </w:rPr>
                              <w:t xml:space="preserve">and </w:t>
                            </w:r>
                            <w:r w:rsidR="003F0363">
                              <w:rPr>
                                <w:bCs/>
                              </w:rPr>
                              <w:t>recommends that Districts accept an</w:t>
                            </w:r>
                            <w:r w:rsidR="003770BE">
                              <w:rPr>
                                <w:bCs/>
                              </w:rPr>
                              <w:t xml:space="preserve"> </w:t>
                            </w:r>
                            <w:r w:rsidR="003F0363">
                              <w:rPr>
                                <w:bCs/>
                              </w:rPr>
                              <w:t xml:space="preserve">‘in-principle’ </w:t>
                            </w:r>
                            <w:r w:rsidR="003770BE">
                              <w:rPr>
                                <w:bCs/>
                              </w:rPr>
                              <w:t>offer from Broadacres</w:t>
                            </w:r>
                            <w:r w:rsidR="003F0363">
                              <w:rPr>
                                <w:bCs/>
                              </w:rPr>
                              <w:t xml:space="preserve"> (</w:t>
                            </w:r>
                            <w:proofErr w:type="gramStart"/>
                            <w:r w:rsidR="003F0363">
                              <w:rPr>
                                <w:bCs/>
                              </w:rPr>
                              <w:t xml:space="preserve">subject </w:t>
                            </w:r>
                            <w:r w:rsidR="003770BE">
                              <w:rPr>
                                <w:bCs/>
                              </w:rPr>
                              <w:t xml:space="preserve"> to</w:t>
                            </w:r>
                            <w:proofErr w:type="gramEnd"/>
                            <w:r w:rsidR="003770BE">
                              <w:rPr>
                                <w:bCs/>
                              </w:rPr>
                              <w:t xml:space="preserve"> </w:t>
                            </w:r>
                            <w:r w:rsidR="003F0363">
                              <w:rPr>
                                <w:bCs/>
                              </w:rPr>
                              <w:t xml:space="preserve">the issues highlighted) to </w:t>
                            </w:r>
                            <w:r w:rsidR="003770BE">
                              <w:rPr>
                                <w:bCs/>
                              </w:rPr>
                              <w:t xml:space="preserve">take on the lead partner role as an interim measure up to the creation of the new Housing Authority in April 2023. </w:t>
                            </w:r>
                            <w:r w:rsidR="00061C33">
                              <w:rPr>
                                <w:bCs/>
                              </w:rPr>
                              <w:t xml:space="preserve"> </w:t>
                            </w:r>
                          </w:p>
                          <w:p w14:paraId="432CF63B" w14:textId="7D0AF832" w:rsidR="00061C33" w:rsidRPr="00E538DA" w:rsidRDefault="00061C33" w:rsidP="00E538DA">
                            <w:pPr>
                              <w:pStyle w:val="Default"/>
                              <w:ind w:left="1080"/>
                              <w:rPr>
                                <w:bCs/>
                              </w:rPr>
                            </w:pPr>
                            <w:r>
                              <w:rPr>
                                <w:bCs/>
                              </w:rPr>
                              <w:t>.</w:t>
                            </w:r>
                          </w:p>
                          <w:p w14:paraId="5D25B637" w14:textId="77777777" w:rsidR="00A8699B" w:rsidRDefault="00A8699B" w:rsidP="00A8699B">
                            <w:pPr>
                              <w:pStyle w:val="Default"/>
                            </w:pPr>
                          </w:p>
                          <w:p w14:paraId="0ACC3214" w14:textId="77777777" w:rsidR="00A8699B" w:rsidRPr="00A8699B" w:rsidRDefault="00A8699B" w:rsidP="00A8699B">
                            <w:pPr>
                              <w:pStyle w:val="Default"/>
                            </w:pPr>
                          </w:p>
                          <w:p w14:paraId="56A9D16D" w14:textId="77777777" w:rsidR="00A8699B" w:rsidRDefault="00A86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D9891" id="_x0000_t202" coordsize="21600,21600" o:spt="202" path="m,l,21600r21600,l21600,xe">
                <v:stroke joinstyle="miter"/>
                <v:path gradientshapeok="t" o:connecttype="rect"/>
              </v:shapetype>
              <v:shape id="Text Box 1" o:spid="_x0000_s1026" type="#_x0000_t202" style="position:absolute;left:0;text-align:left;margin-left:-7.8pt;margin-top:15.4pt;width:459.6pt;height:1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" fillcolor="white [3201]">
                <v:textbox>
                  <w:txbxContent>
                    <w:p w14:paraId="23144EF4" w14:textId="4AF051F2" w:rsidR="00A8699B" w:rsidRDefault="00A8699B" w:rsidP="005C0E6B">
                      <w:pPr>
                        <w:pStyle w:val="Default"/>
                        <w:numPr>
                          <w:ilvl w:val="0"/>
                          <w:numId w:val="1"/>
                        </w:numPr>
                        <w:spacing w:line="276" w:lineRule="auto"/>
                        <w:ind w:left="1077"/>
                        <w:rPr>
                          <w:b/>
                          <w:bCs/>
                        </w:rPr>
                      </w:pPr>
                      <w:r w:rsidRPr="00A8699B">
                        <w:rPr>
                          <w:b/>
                          <w:bCs/>
                        </w:rPr>
                        <w:t xml:space="preserve">Purpose of the Report </w:t>
                      </w:r>
                    </w:p>
                    <w:p w14:paraId="269E49D9" w14:textId="127640AF" w:rsidR="00E538DA" w:rsidRDefault="00F03CC3" w:rsidP="005C0E6B">
                      <w:pPr>
                        <w:pStyle w:val="Default"/>
                        <w:spacing w:line="276" w:lineRule="auto"/>
                        <w:ind w:left="1077"/>
                        <w:rPr>
                          <w:bCs/>
                        </w:rPr>
                      </w:pPr>
                      <w:r>
                        <w:rPr>
                          <w:bCs/>
                        </w:rPr>
                        <w:t>This report sets</w:t>
                      </w:r>
                      <w:r w:rsidR="00CF0F11">
                        <w:rPr>
                          <w:bCs/>
                        </w:rPr>
                        <w:t xml:space="preserve"> out</w:t>
                      </w:r>
                      <w:r w:rsidR="003770BE">
                        <w:rPr>
                          <w:bCs/>
                        </w:rPr>
                        <w:t xml:space="preserve"> the implications of City of York’s decision to leave </w:t>
                      </w:r>
                      <w:r w:rsidR="00CF0F11">
                        <w:rPr>
                          <w:bCs/>
                        </w:rPr>
                        <w:t xml:space="preserve">the </w:t>
                      </w:r>
                      <w:r w:rsidR="003770BE">
                        <w:rPr>
                          <w:bCs/>
                        </w:rPr>
                        <w:t xml:space="preserve">North Yorkshire Home Choice </w:t>
                      </w:r>
                      <w:r w:rsidR="00CF0F11">
                        <w:rPr>
                          <w:bCs/>
                        </w:rPr>
                        <w:t xml:space="preserve">Partnership </w:t>
                      </w:r>
                      <w:r w:rsidR="003770BE">
                        <w:rPr>
                          <w:bCs/>
                        </w:rPr>
                        <w:t xml:space="preserve">and </w:t>
                      </w:r>
                      <w:r w:rsidR="003F0363">
                        <w:rPr>
                          <w:bCs/>
                        </w:rPr>
                        <w:t>recommends that Districts accept an</w:t>
                      </w:r>
                      <w:r w:rsidR="003770BE">
                        <w:rPr>
                          <w:bCs/>
                        </w:rPr>
                        <w:t xml:space="preserve"> </w:t>
                      </w:r>
                      <w:r w:rsidR="003F0363">
                        <w:rPr>
                          <w:bCs/>
                        </w:rPr>
                        <w:t xml:space="preserve">‘in-principle’ </w:t>
                      </w:r>
                      <w:r w:rsidR="003770BE">
                        <w:rPr>
                          <w:bCs/>
                        </w:rPr>
                        <w:t>offer from Broadacres</w:t>
                      </w:r>
                      <w:r w:rsidR="003F0363">
                        <w:rPr>
                          <w:bCs/>
                        </w:rPr>
                        <w:t xml:space="preserve"> (subject </w:t>
                      </w:r>
                      <w:r w:rsidR="003770BE">
                        <w:rPr>
                          <w:bCs/>
                        </w:rPr>
                        <w:t xml:space="preserve"> to </w:t>
                      </w:r>
                      <w:r w:rsidR="003F0363">
                        <w:rPr>
                          <w:bCs/>
                        </w:rPr>
                        <w:t xml:space="preserve">the issues highlighted) to </w:t>
                      </w:r>
                      <w:r w:rsidR="003770BE">
                        <w:rPr>
                          <w:bCs/>
                        </w:rPr>
                        <w:t xml:space="preserve">take on the lead partner role as an interim measure up to the creation of the new Housing Authority in April 2023. </w:t>
                      </w:r>
                      <w:r w:rsidR="00061C33">
                        <w:rPr>
                          <w:bCs/>
                        </w:rPr>
                        <w:t xml:space="preserve"> </w:t>
                      </w:r>
                    </w:p>
                    <w:p w14:paraId="432CF63B" w14:textId="7D0AF832" w:rsidR="00061C33" w:rsidRPr="00E538DA" w:rsidRDefault="00061C33" w:rsidP="00E538DA">
                      <w:pPr>
                        <w:pStyle w:val="Default"/>
                        <w:ind w:left="1080"/>
                        <w:rPr>
                          <w:bCs/>
                        </w:rPr>
                      </w:pPr>
                      <w:r>
                        <w:rPr>
                          <w:bCs/>
                        </w:rPr>
                        <w:t>.</w:t>
                      </w:r>
                    </w:p>
                    <w:p w14:paraId="5D25B637" w14:textId="77777777" w:rsidR="00A8699B" w:rsidRDefault="00A8699B" w:rsidP="00A8699B">
                      <w:pPr>
                        <w:pStyle w:val="Default"/>
                      </w:pPr>
                    </w:p>
                    <w:p w14:paraId="0ACC3214" w14:textId="77777777" w:rsidR="00A8699B" w:rsidRPr="00A8699B" w:rsidRDefault="00A8699B" w:rsidP="00A8699B">
                      <w:pPr>
                        <w:pStyle w:val="Default"/>
                      </w:pPr>
                    </w:p>
                    <w:p w14:paraId="56A9D16D" w14:textId="77777777" w:rsidR="00A8699B" w:rsidRDefault="00A8699B"/>
                  </w:txbxContent>
                </v:textbox>
              </v:shape>
            </w:pict>
          </mc:Fallback>
        </mc:AlternateContent>
      </w:r>
    </w:p>
    <w:p w14:paraId="122A066F" w14:textId="77777777" w:rsidR="00A8699B" w:rsidRDefault="00A8699B" w:rsidP="005C0E6B">
      <w:pPr>
        <w:spacing w:after="0"/>
        <w:jc w:val="center"/>
        <w:rPr>
          <w:rFonts w:ascii="Arial" w:hAnsi="Arial" w:cs="Arial"/>
          <w:b/>
          <w:bCs/>
          <w:sz w:val="24"/>
          <w:szCs w:val="24"/>
        </w:rPr>
      </w:pPr>
    </w:p>
    <w:p w14:paraId="714584C5" w14:textId="77777777" w:rsidR="00A8699B" w:rsidRDefault="00A8699B" w:rsidP="005C0E6B">
      <w:pPr>
        <w:spacing w:after="0"/>
        <w:jc w:val="center"/>
        <w:rPr>
          <w:rFonts w:ascii="Arial" w:hAnsi="Arial" w:cs="Arial"/>
          <w:b/>
          <w:bCs/>
          <w:sz w:val="24"/>
          <w:szCs w:val="24"/>
        </w:rPr>
      </w:pPr>
    </w:p>
    <w:p w14:paraId="13037F77" w14:textId="77777777" w:rsidR="00A8699B" w:rsidRDefault="00A8699B" w:rsidP="005C0E6B">
      <w:pPr>
        <w:pStyle w:val="Default"/>
        <w:spacing w:line="276" w:lineRule="auto"/>
      </w:pPr>
    </w:p>
    <w:p w14:paraId="083DC27D" w14:textId="77777777" w:rsidR="00A8699B" w:rsidRDefault="00A8699B" w:rsidP="005C0E6B">
      <w:pPr>
        <w:pStyle w:val="Default"/>
        <w:spacing w:line="276" w:lineRule="auto"/>
      </w:pPr>
      <w:r>
        <w:t xml:space="preserve"> </w:t>
      </w:r>
    </w:p>
    <w:p w14:paraId="445AE91C" w14:textId="77777777" w:rsidR="00A8699B" w:rsidRDefault="00A8699B" w:rsidP="005C0E6B">
      <w:pPr>
        <w:pStyle w:val="Default"/>
        <w:spacing w:line="276" w:lineRule="auto"/>
      </w:pPr>
    </w:p>
    <w:p w14:paraId="30DE1378" w14:textId="77777777" w:rsidR="005C0E6B" w:rsidRDefault="005C0E6B" w:rsidP="005C0E6B">
      <w:pPr>
        <w:pStyle w:val="Default"/>
        <w:spacing w:line="276" w:lineRule="auto"/>
        <w:rPr>
          <w:b/>
        </w:rPr>
      </w:pPr>
    </w:p>
    <w:p w14:paraId="6EADBDBF" w14:textId="1A7C6291" w:rsidR="00A8699B" w:rsidRDefault="00A8699B" w:rsidP="005C0E6B">
      <w:pPr>
        <w:pStyle w:val="Default"/>
        <w:spacing w:line="276" w:lineRule="auto"/>
        <w:rPr>
          <w:b/>
        </w:rPr>
      </w:pPr>
      <w:r w:rsidRPr="00A8699B">
        <w:rPr>
          <w:b/>
        </w:rPr>
        <w:t>2</w:t>
      </w:r>
      <w:r w:rsidRPr="00A8699B">
        <w:rPr>
          <w:b/>
        </w:rPr>
        <w:tab/>
        <w:t xml:space="preserve"> Background</w:t>
      </w:r>
    </w:p>
    <w:p w14:paraId="1A553BC7" w14:textId="77777777" w:rsidR="00A8699B" w:rsidRDefault="00A8699B" w:rsidP="005C0E6B">
      <w:pPr>
        <w:pStyle w:val="Default"/>
        <w:spacing w:line="276" w:lineRule="auto"/>
        <w:rPr>
          <w:b/>
        </w:rPr>
      </w:pPr>
    </w:p>
    <w:p w14:paraId="3D8BECE0" w14:textId="001EA9A3" w:rsidR="00061C33" w:rsidRPr="003770BE" w:rsidRDefault="003770BE" w:rsidP="003770BE">
      <w:pPr>
        <w:pStyle w:val="Default"/>
        <w:spacing w:line="276" w:lineRule="auto"/>
        <w:ind w:left="720" w:hanging="720"/>
        <w:rPr>
          <w:b/>
        </w:rPr>
      </w:pPr>
      <w:r w:rsidRPr="003770BE">
        <w:rPr>
          <w:b/>
        </w:rPr>
        <w:t>2.</w:t>
      </w:r>
      <w:r>
        <w:tab/>
      </w:r>
      <w:r w:rsidRPr="003770BE">
        <w:rPr>
          <w:b/>
        </w:rPr>
        <w:t>Background</w:t>
      </w:r>
    </w:p>
    <w:p w14:paraId="335E73DC" w14:textId="60377517" w:rsidR="003770BE" w:rsidRDefault="003770BE" w:rsidP="003770BE">
      <w:pPr>
        <w:pStyle w:val="Default"/>
        <w:spacing w:line="276" w:lineRule="auto"/>
        <w:ind w:left="720" w:hanging="720"/>
      </w:pPr>
    </w:p>
    <w:p w14:paraId="1E15E36C" w14:textId="0E305DE0" w:rsidR="003770BE" w:rsidRDefault="003770BE" w:rsidP="003770BE">
      <w:pPr>
        <w:pStyle w:val="Default"/>
        <w:spacing w:line="276" w:lineRule="auto"/>
        <w:ind w:left="720" w:hanging="720"/>
      </w:pPr>
      <w:r>
        <w:t>2.1</w:t>
      </w:r>
      <w:r>
        <w:tab/>
        <w:t xml:space="preserve">The Home Choice partnership and shared allocation scheme has successfully operated for over 10 years. All Districts (bar </w:t>
      </w:r>
      <w:r w:rsidR="00A015C5">
        <w:t>Harrogate</w:t>
      </w:r>
      <w:r>
        <w:t xml:space="preserve">) and their </w:t>
      </w:r>
      <w:r w:rsidR="00CF0F11">
        <w:t xml:space="preserve">respective </w:t>
      </w:r>
      <w:r>
        <w:t xml:space="preserve">LSVT RP partners are members of this partnership. </w:t>
      </w:r>
    </w:p>
    <w:p w14:paraId="48570F08" w14:textId="77777777" w:rsidR="003770BE" w:rsidRDefault="003770BE" w:rsidP="003770BE">
      <w:pPr>
        <w:pStyle w:val="Default"/>
        <w:spacing w:line="276" w:lineRule="auto"/>
        <w:ind w:left="720" w:hanging="720"/>
      </w:pPr>
    </w:p>
    <w:p w14:paraId="4A93EFD0" w14:textId="47871D8D" w:rsidR="003770BE" w:rsidRDefault="003770BE" w:rsidP="003770BE">
      <w:pPr>
        <w:pStyle w:val="Default"/>
        <w:spacing w:line="276" w:lineRule="auto"/>
        <w:ind w:left="720" w:hanging="720"/>
      </w:pPr>
      <w:r>
        <w:t>2.2</w:t>
      </w:r>
      <w:r>
        <w:tab/>
        <w:t xml:space="preserve">Since </w:t>
      </w:r>
      <w:r w:rsidR="00CF0F11">
        <w:t xml:space="preserve">its </w:t>
      </w:r>
      <w:r w:rsidR="00EC717D">
        <w:t>inception</w:t>
      </w:r>
      <w:r>
        <w:t xml:space="preserve"> City of York have taken on the role as lead partner. York have stated their intention to give notice </w:t>
      </w:r>
      <w:r w:rsidR="00CF0F11">
        <w:t>to the partnership from the end of August 2021 with a view to going live with their own new and separate allocations scheme from Spring 2022</w:t>
      </w:r>
      <w:r w:rsidR="00EC717D">
        <w:t xml:space="preserve"> (</w:t>
      </w:r>
      <w:proofErr w:type="gramStart"/>
      <w:r w:rsidR="00EC717D">
        <w:t>6 month</w:t>
      </w:r>
      <w:proofErr w:type="gramEnd"/>
      <w:r w:rsidR="00EC717D">
        <w:t xml:space="preserve"> notice period)</w:t>
      </w:r>
      <w:r w:rsidR="00CF0F11">
        <w:t xml:space="preserve">. </w:t>
      </w:r>
    </w:p>
    <w:p w14:paraId="449F9D31" w14:textId="64358501" w:rsidR="00CF0F11" w:rsidRDefault="00CF0F11" w:rsidP="003770BE">
      <w:pPr>
        <w:pStyle w:val="Default"/>
        <w:spacing w:line="276" w:lineRule="auto"/>
        <w:ind w:left="720" w:hanging="720"/>
      </w:pPr>
    </w:p>
    <w:p w14:paraId="743C716B" w14:textId="17FEB12C" w:rsidR="00CF0F11" w:rsidRDefault="00CF0F11" w:rsidP="003770BE">
      <w:pPr>
        <w:pStyle w:val="Default"/>
        <w:spacing w:line="276" w:lineRule="auto"/>
        <w:ind w:left="720" w:hanging="720"/>
      </w:pPr>
      <w:r>
        <w:t>2.3</w:t>
      </w:r>
      <w:r>
        <w:tab/>
        <w:t xml:space="preserve">This report sets out the implications of York’s decision and highlights the key elements of the Lead Partner role. </w:t>
      </w:r>
    </w:p>
    <w:p w14:paraId="20DF96BD" w14:textId="60ECC4D4" w:rsidR="00CF0F11" w:rsidRDefault="00CF0F11" w:rsidP="003770BE">
      <w:pPr>
        <w:pStyle w:val="Default"/>
        <w:spacing w:line="276" w:lineRule="auto"/>
        <w:ind w:left="720" w:hanging="720"/>
      </w:pPr>
    </w:p>
    <w:p w14:paraId="7647E8F5" w14:textId="4AEB7E6D" w:rsidR="00CF0F11" w:rsidRPr="00A8699B" w:rsidRDefault="00CF0F11" w:rsidP="003770BE">
      <w:pPr>
        <w:pStyle w:val="Default"/>
        <w:spacing w:line="276" w:lineRule="auto"/>
        <w:ind w:left="720" w:hanging="720"/>
      </w:pPr>
      <w:r>
        <w:t>2.4</w:t>
      </w:r>
      <w:r>
        <w:tab/>
        <w:t>The report sets out options going forward and seeks views on an offer from Broadacres to act as Lead Partner going forward up to the creation of the new Housing Authority in April 2023.</w:t>
      </w:r>
    </w:p>
    <w:p w14:paraId="6C024B20" w14:textId="77777777" w:rsidR="00A8699B" w:rsidRDefault="00A8699B" w:rsidP="005C0E6B">
      <w:pPr>
        <w:pStyle w:val="Default"/>
        <w:spacing w:line="276" w:lineRule="auto"/>
        <w:rPr>
          <w:b/>
        </w:rPr>
      </w:pPr>
    </w:p>
    <w:p w14:paraId="091976F5" w14:textId="0A9A4BA8" w:rsidR="00A8699B" w:rsidRDefault="00A8699B" w:rsidP="005C0E6B">
      <w:pPr>
        <w:pStyle w:val="Default"/>
        <w:spacing w:line="276" w:lineRule="auto"/>
        <w:rPr>
          <w:b/>
        </w:rPr>
      </w:pPr>
      <w:r>
        <w:rPr>
          <w:b/>
        </w:rPr>
        <w:t>3</w:t>
      </w:r>
      <w:r>
        <w:rPr>
          <w:b/>
        </w:rPr>
        <w:tab/>
      </w:r>
      <w:r w:rsidR="00CF0F11">
        <w:rPr>
          <w:b/>
        </w:rPr>
        <w:t>The Lead Partner Role</w:t>
      </w:r>
    </w:p>
    <w:p w14:paraId="5C552ABF" w14:textId="082BF3B8" w:rsidR="00CF0F11" w:rsidRDefault="00CF0F11" w:rsidP="005C0E6B">
      <w:pPr>
        <w:pStyle w:val="Default"/>
        <w:spacing w:line="276" w:lineRule="auto"/>
        <w:rPr>
          <w:b/>
        </w:rPr>
      </w:pPr>
    </w:p>
    <w:p w14:paraId="240DEAD9" w14:textId="2EDBF508" w:rsidR="00355504" w:rsidRPr="00355504" w:rsidRDefault="00CF0F11" w:rsidP="00355504">
      <w:pPr>
        <w:spacing w:after="0" w:line="240" w:lineRule="auto"/>
        <w:ind w:left="720" w:hanging="720"/>
        <w:jc w:val="both"/>
        <w:rPr>
          <w:rFonts w:ascii="Arial" w:hAnsi="Arial" w:cs="Arial"/>
          <w:iCs/>
          <w:sz w:val="24"/>
          <w:szCs w:val="24"/>
        </w:rPr>
      </w:pPr>
      <w:r w:rsidRPr="00355504">
        <w:rPr>
          <w:rFonts w:ascii="Arial" w:hAnsi="Arial" w:cs="Arial"/>
          <w:sz w:val="24"/>
          <w:szCs w:val="24"/>
        </w:rPr>
        <w:t>3.1</w:t>
      </w:r>
      <w:r w:rsidRPr="00355504">
        <w:rPr>
          <w:rFonts w:ascii="Arial" w:hAnsi="Arial" w:cs="Arial"/>
          <w:sz w:val="24"/>
          <w:szCs w:val="24"/>
        </w:rPr>
        <w:tab/>
      </w:r>
      <w:r w:rsidR="00355504" w:rsidRPr="00355504">
        <w:rPr>
          <w:rFonts w:ascii="Arial" w:hAnsi="Arial" w:cs="Arial"/>
          <w:sz w:val="24"/>
          <w:szCs w:val="24"/>
        </w:rPr>
        <w:t>An e</w:t>
      </w:r>
      <w:r w:rsidR="00355504" w:rsidRPr="00355504">
        <w:rPr>
          <w:rFonts w:ascii="Arial" w:hAnsi="Arial" w:cs="Arial"/>
          <w:iCs/>
          <w:sz w:val="24"/>
          <w:szCs w:val="24"/>
        </w:rPr>
        <w:t xml:space="preserve">xtraordinary meeting of the Home the Home Choice Board was convened on 11 August following on from the LGR announcement and </w:t>
      </w:r>
      <w:r w:rsidR="00062590" w:rsidRPr="00355504">
        <w:rPr>
          <w:rFonts w:ascii="Arial" w:hAnsi="Arial" w:cs="Arial"/>
          <w:iCs/>
          <w:sz w:val="24"/>
          <w:szCs w:val="24"/>
        </w:rPr>
        <w:t>York’s</w:t>
      </w:r>
      <w:r w:rsidR="00355504" w:rsidRPr="00355504">
        <w:rPr>
          <w:rFonts w:ascii="Arial" w:hAnsi="Arial" w:cs="Arial"/>
          <w:iCs/>
          <w:sz w:val="24"/>
          <w:szCs w:val="24"/>
        </w:rPr>
        <w:t xml:space="preserve"> decision to leave the partnership. At this meeting all partners again stated their on-going commitment to Home Choice and a strong desire to keep the partnership in place up to the point of LGR. </w:t>
      </w:r>
    </w:p>
    <w:p w14:paraId="4D65E03D" w14:textId="77777777" w:rsidR="00355504" w:rsidRDefault="00355504" w:rsidP="00355504">
      <w:pPr>
        <w:spacing w:after="0" w:line="240" w:lineRule="auto"/>
        <w:ind w:left="720" w:hanging="720"/>
        <w:jc w:val="both"/>
        <w:rPr>
          <w:rFonts w:ascii="Arial" w:hAnsi="Arial" w:cs="Arial"/>
          <w:iCs/>
          <w:sz w:val="24"/>
          <w:szCs w:val="24"/>
        </w:rPr>
      </w:pPr>
    </w:p>
    <w:p w14:paraId="547346ED" w14:textId="22F59435" w:rsidR="00355504" w:rsidRDefault="00355504" w:rsidP="00355504">
      <w:pPr>
        <w:spacing w:after="0" w:line="240" w:lineRule="auto"/>
        <w:ind w:left="720" w:hanging="720"/>
        <w:jc w:val="both"/>
        <w:rPr>
          <w:rFonts w:ascii="Arial" w:hAnsi="Arial" w:cs="Arial"/>
          <w:iCs/>
          <w:sz w:val="24"/>
          <w:szCs w:val="24"/>
        </w:rPr>
      </w:pPr>
      <w:r>
        <w:rPr>
          <w:rFonts w:ascii="Arial" w:hAnsi="Arial" w:cs="Arial"/>
          <w:iCs/>
          <w:sz w:val="24"/>
          <w:szCs w:val="24"/>
        </w:rPr>
        <w:t>3.2</w:t>
      </w:r>
      <w:r>
        <w:rPr>
          <w:rFonts w:ascii="Arial" w:hAnsi="Arial" w:cs="Arial"/>
          <w:iCs/>
          <w:sz w:val="24"/>
          <w:szCs w:val="24"/>
        </w:rPr>
        <w:tab/>
      </w:r>
      <w:r w:rsidR="004F2A42">
        <w:rPr>
          <w:rFonts w:ascii="Arial" w:hAnsi="Arial" w:cs="Arial"/>
          <w:iCs/>
          <w:sz w:val="24"/>
          <w:szCs w:val="24"/>
        </w:rPr>
        <w:t xml:space="preserve">The Boards view is that the policy and approach to allocations through Home Choice works well and is fit for purpose. </w:t>
      </w:r>
      <w:r>
        <w:rPr>
          <w:rFonts w:ascii="Arial" w:hAnsi="Arial" w:cs="Arial"/>
          <w:iCs/>
          <w:sz w:val="24"/>
          <w:szCs w:val="24"/>
        </w:rPr>
        <w:t>Whilst understanding that the new authority may longer term wish to review future policy and arrangements</w:t>
      </w:r>
      <w:r w:rsidR="004F2A42">
        <w:rPr>
          <w:rFonts w:ascii="Arial" w:hAnsi="Arial" w:cs="Arial"/>
          <w:iCs/>
          <w:sz w:val="24"/>
          <w:szCs w:val="24"/>
        </w:rPr>
        <w:t xml:space="preserve"> going forward</w:t>
      </w:r>
      <w:r w:rsidR="00EC717D">
        <w:rPr>
          <w:rFonts w:ascii="Arial" w:hAnsi="Arial" w:cs="Arial"/>
          <w:iCs/>
          <w:sz w:val="24"/>
          <w:szCs w:val="24"/>
        </w:rPr>
        <w:t xml:space="preserve"> and that the position regarding Harrogate shall need to </w:t>
      </w:r>
      <w:r w:rsidR="00062590">
        <w:rPr>
          <w:rFonts w:ascii="Arial" w:hAnsi="Arial" w:cs="Arial"/>
          <w:iCs/>
          <w:sz w:val="24"/>
          <w:szCs w:val="24"/>
        </w:rPr>
        <w:t>be</w:t>
      </w:r>
      <w:r w:rsidR="00EC717D">
        <w:rPr>
          <w:rFonts w:ascii="Arial" w:hAnsi="Arial" w:cs="Arial"/>
          <w:iCs/>
          <w:sz w:val="24"/>
          <w:szCs w:val="24"/>
        </w:rPr>
        <w:t xml:space="preserve"> resolved</w:t>
      </w:r>
      <w:r>
        <w:rPr>
          <w:rFonts w:ascii="Arial" w:hAnsi="Arial" w:cs="Arial"/>
          <w:iCs/>
          <w:sz w:val="24"/>
          <w:szCs w:val="24"/>
        </w:rPr>
        <w:t xml:space="preserve">, the </w:t>
      </w:r>
      <w:r>
        <w:rPr>
          <w:rFonts w:ascii="Arial" w:hAnsi="Arial" w:cs="Arial"/>
          <w:iCs/>
          <w:sz w:val="24"/>
          <w:szCs w:val="24"/>
        </w:rPr>
        <w:lastRenderedPageBreak/>
        <w:t xml:space="preserve">view of the Board is that the existing partnership offers a strong and existing countywide model that at the very least needs to be sustained up to the point of where the new authority is established in April 2023. </w:t>
      </w:r>
    </w:p>
    <w:p w14:paraId="490496F1" w14:textId="1A904433" w:rsidR="00355504" w:rsidRDefault="00355504" w:rsidP="00355504">
      <w:pPr>
        <w:spacing w:after="0" w:line="240" w:lineRule="auto"/>
        <w:ind w:left="720" w:hanging="720"/>
        <w:jc w:val="both"/>
        <w:rPr>
          <w:rFonts w:ascii="Arial" w:hAnsi="Arial" w:cs="Arial"/>
          <w:iCs/>
          <w:sz w:val="24"/>
          <w:szCs w:val="24"/>
        </w:rPr>
      </w:pPr>
    </w:p>
    <w:p w14:paraId="2B951D17" w14:textId="4219C74D" w:rsidR="00355504" w:rsidRDefault="00355504" w:rsidP="00355504">
      <w:pPr>
        <w:spacing w:after="0" w:line="240" w:lineRule="auto"/>
        <w:ind w:left="720" w:hanging="720"/>
        <w:jc w:val="both"/>
        <w:rPr>
          <w:rFonts w:ascii="Arial" w:hAnsi="Arial" w:cs="Arial"/>
          <w:iCs/>
          <w:sz w:val="24"/>
          <w:szCs w:val="24"/>
        </w:rPr>
      </w:pPr>
      <w:r>
        <w:rPr>
          <w:rFonts w:ascii="Arial" w:hAnsi="Arial" w:cs="Arial"/>
          <w:iCs/>
          <w:sz w:val="24"/>
          <w:szCs w:val="24"/>
        </w:rPr>
        <w:t>3.3</w:t>
      </w:r>
      <w:r>
        <w:rPr>
          <w:rFonts w:ascii="Arial" w:hAnsi="Arial" w:cs="Arial"/>
          <w:iCs/>
          <w:sz w:val="24"/>
          <w:szCs w:val="24"/>
        </w:rPr>
        <w:tab/>
      </w:r>
      <w:r w:rsidR="004F2A42">
        <w:rPr>
          <w:rFonts w:ascii="Arial" w:hAnsi="Arial" w:cs="Arial"/>
          <w:iCs/>
          <w:sz w:val="24"/>
          <w:szCs w:val="24"/>
        </w:rPr>
        <w:t xml:space="preserve">In order to sustain the partnership, the Board considered the key elements of the Lead Partner Role that are essential to holding the partnership together. These are: </w:t>
      </w:r>
    </w:p>
    <w:p w14:paraId="71FFA225" w14:textId="648A705B" w:rsidR="004F2A42" w:rsidRDefault="004F2A42" w:rsidP="00355504">
      <w:pPr>
        <w:spacing w:after="0" w:line="240" w:lineRule="auto"/>
        <w:ind w:left="720" w:hanging="720"/>
        <w:jc w:val="both"/>
        <w:rPr>
          <w:rFonts w:ascii="Arial" w:hAnsi="Arial" w:cs="Arial"/>
          <w:iCs/>
          <w:sz w:val="24"/>
          <w:szCs w:val="24"/>
        </w:rPr>
      </w:pPr>
    </w:p>
    <w:p w14:paraId="2E053990" w14:textId="1082E443" w:rsidR="004F2A42" w:rsidRDefault="004F2A42" w:rsidP="004F2A42">
      <w:pPr>
        <w:pStyle w:val="ListParagraph"/>
        <w:numPr>
          <w:ilvl w:val="0"/>
          <w:numId w:val="8"/>
        </w:numPr>
        <w:spacing w:after="0" w:line="240" w:lineRule="auto"/>
        <w:jc w:val="both"/>
        <w:rPr>
          <w:rFonts w:ascii="Arial" w:hAnsi="Arial" w:cs="Arial"/>
          <w:iCs/>
          <w:sz w:val="24"/>
          <w:szCs w:val="24"/>
        </w:rPr>
      </w:pPr>
      <w:r>
        <w:rPr>
          <w:rFonts w:ascii="Arial" w:hAnsi="Arial" w:cs="Arial"/>
          <w:iCs/>
          <w:sz w:val="24"/>
          <w:szCs w:val="24"/>
        </w:rPr>
        <w:t xml:space="preserve">Chairing the quarterly Board Meetings and Operational Group Meetings and providing administrative support to the meetings. </w:t>
      </w:r>
    </w:p>
    <w:p w14:paraId="4DDD6A6F" w14:textId="1B40FFC7" w:rsidR="004F2A42" w:rsidRDefault="004F2A42" w:rsidP="004F2A42">
      <w:pPr>
        <w:pStyle w:val="ListParagraph"/>
        <w:numPr>
          <w:ilvl w:val="0"/>
          <w:numId w:val="8"/>
        </w:numPr>
        <w:spacing w:after="0" w:line="240" w:lineRule="auto"/>
        <w:jc w:val="both"/>
        <w:rPr>
          <w:rFonts w:ascii="Arial" w:hAnsi="Arial" w:cs="Arial"/>
          <w:iCs/>
          <w:sz w:val="24"/>
          <w:szCs w:val="24"/>
        </w:rPr>
      </w:pPr>
      <w:r>
        <w:rPr>
          <w:rFonts w:ascii="Arial" w:hAnsi="Arial" w:cs="Arial"/>
          <w:iCs/>
          <w:sz w:val="24"/>
          <w:szCs w:val="24"/>
        </w:rPr>
        <w:t xml:space="preserve">Employing the Co-ordinator </w:t>
      </w:r>
    </w:p>
    <w:p w14:paraId="27A13762" w14:textId="71758909" w:rsidR="004F2A42" w:rsidRDefault="004F2A42" w:rsidP="004F2A42">
      <w:pPr>
        <w:pStyle w:val="ListParagraph"/>
        <w:numPr>
          <w:ilvl w:val="0"/>
          <w:numId w:val="8"/>
        </w:numPr>
        <w:spacing w:after="0" w:line="240" w:lineRule="auto"/>
        <w:jc w:val="both"/>
        <w:rPr>
          <w:rFonts w:ascii="Arial" w:hAnsi="Arial" w:cs="Arial"/>
          <w:iCs/>
          <w:sz w:val="24"/>
          <w:szCs w:val="24"/>
        </w:rPr>
      </w:pPr>
      <w:r>
        <w:rPr>
          <w:rFonts w:ascii="Arial" w:hAnsi="Arial" w:cs="Arial"/>
          <w:iCs/>
          <w:sz w:val="24"/>
          <w:szCs w:val="24"/>
        </w:rPr>
        <w:t>Acting as banker for the budget the budget and finances including the annual invoicing of partners and the invoicing and receipting of RPs for lettings undertaken via the system</w:t>
      </w:r>
    </w:p>
    <w:p w14:paraId="582FFEB6" w14:textId="4AD46851" w:rsidR="004F2A42" w:rsidRDefault="004F2A42" w:rsidP="004F2A42">
      <w:pPr>
        <w:pStyle w:val="ListParagraph"/>
        <w:numPr>
          <w:ilvl w:val="0"/>
          <w:numId w:val="8"/>
        </w:numPr>
        <w:spacing w:after="0" w:line="240" w:lineRule="auto"/>
        <w:jc w:val="both"/>
        <w:rPr>
          <w:rFonts w:ascii="Arial" w:hAnsi="Arial" w:cs="Arial"/>
          <w:iCs/>
          <w:sz w:val="24"/>
          <w:szCs w:val="24"/>
        </w:rPr>
      </w:pPr>
      <w:r>
        <w:rPr>
          <w:rFonts w:ascii="Arial" w:hAnsi="Arial" w:cs="Arial"/>
          <w:iCs/>
          <w:sz w:val="24"/>
          <w:szCs w:val="24"/>
        </w:rPr>
        <w:t>Providing legal advice on policy changes and holding all relevant legal documents for the partnership</w:t>
      </w:r>
    </w:p>
    <w:p w14:paraId="245EDB64" w14:textId="7D97A23A" w:rsidR="004F2A42" w:rsidRDefault="004F2A42" w:rsidP="004F2A42">
      <w:pPr>
        <w:pStyle w:val="ListParagraph"/>
        <w:numPr>
          <w:ilvl w:val="0"/>
          <w:numId w:val="8"/>
        </w:numPr>
        <w:spacing w:after="0" w:line="240" w:lineRule="auto"/>
        <w:jc w:val="both"/>
        <w:rPr>
          <w:rFonts w:ascii="Arial" w:hAnsi="Arial" w:cs="Arial"/>
          <w:iCs/>
          <w:sz w:val="24"/>
          <w:szCs w:val="24"/>
        </w:rPr>
      </w:pPr>
      <w:r>
        <w:rPr>
          <w:rFonts w:ascii="Arial" w:hAnsi="Arial" w:cs="Arial"/>
          <w:iCs/>
          <w:sz w:val="24"/>
          <w:szCs w:val="24"/>
        </w:rPr>
        <w:t>Providing governance support on issues such as date sharing and privacy notices</w:t>
      </w:r>
    </w:p>
    <w:p w14:paraId="0C0E7C9B" w14:textId="6DB14B32" w:rsidR="004F2A42" w:rsidRDefault="004F2A42" w:rsidP="004F2A42">
      <w:pPr>
        <w:pStyle w:val="ListParagraph"/>
        <w:numPr>
          <w:ilvl w:val="0"/>
          <w:numId w:val="8"/>
        </w:numPr>
        <w:spacing w:after="0" w:line="240" w:lineRule="auto"/>
        <w:jc w:val="both"/>
        <w:rPr>
          <w:rFonts w:ascii="Arial" w:hAnsi="Arial" w:cs="Arial"/>
          <w:iCs/>
          <w:sz w:val="24"/>
          <w:szCs w:val="24"/>
        </w:rPr>
      </w:pPr>
      <w:r>
        <w:rPr>
          <w:rFonts w:ascii="Arial" w:hAnsi="Arial" w:cs="Arial"/>
          <w:iCs/>
          <w:sz w:val="24"/>
          <w:szCs w:val="24"/>
        </w:rPr>
        <w:t>Leading on liaison with the current IT provider CIVICA</w:t>
      </w:r>
      <w:r w:rsidR="00EC717D">
        <w:rPr>
          <w:rFonts w:ascii="Arial" w:hAnsi="Arial" w:cs="Arial"/>
          <w:iCs/>
          <w:sz w:val="24"/>
          <w:szCs w:val="24"/>
        </w:rPr>
        <w:t xml:space="preserve"> including the reporting of faults and supporting the management of installations and upgrades. </w:t>
      </w:r>
    </w:p>
    <w:p w14:paraId="459EB6EC" w14:textId="78686D17" w:rsidR="00EC717D" w:rsidRDefault="00EC717D" w:rsidP="004F2A42">
      <w:pPr>
        <w:pStyle w:val="ListParagraph"/>
        <w:numPr>
          <w:ilvl w:val="0"/>
          <w:numId w:val="8"/>
        </w:numPr>
        <w:spacing w:after="0" w:line="240" w:lineRule="auto"/>
        <w:jc w:val="both"/>
        <w:rPr>
          <w:rFonts w:ascii="Arial" w:hAnsi="Arial" w:cs="Arial"/>
          <w:iCs/>
          <w:sz w:val="24"/>
          <w:szCs w:val="24"/>
        </w:rPr>
      </w:pPr>
      <w:r>
        <w:rPr>
          <w:rFonts w:ascii="Arial" w:hAnsi="Arial" w:cs="Arial"/>
          <w:iCs/>
          <w:sz w:val="24"/>
          <w:szCs w:val="24"/>
        </w:rPr>
        <w:t>Co-ordinating he Review Panels and ensuring that reviews and complaints are dealt with effectively</w:t>
      </w:r>
    </w:p>
    <w:p w14:paraId="19319351" w14:textId="5E5B0782" w:rsidR="00CF0F11" w:rsidRPr="00EC717D" w:rsidRDefault="00EC717D" w:rsidP="00EC717D">
      <w:pPr>
        <w:pStyle w:val="ListParagraph"/>
        <w:numPr>
          <w:ilvl w:val="0"/>
          <w:numId w:val="8"/>
        </w:numPr>
        <w:spacing w:after="0" w:line="240" w:lineRule="auto"/>
        <w:jc w:val="both"/>
        <w:rPr>
          <w:rFonts w:ascii="Arial" w:hAnsi="Arial" w:cs="Arial"/>
          <w:iCs/>
          <w:sz w:val="24"/>
          <w:szCs w:val="24"/>
        </w:rPr>
      </w:pPr>
      <w:r>
        <w:rPr>
          <w:rFonts w:ascii="Arial" w:hAnsi="Arial" w:cs="Arial"/>
          <w:iCs/>
          <w:sz w:val="24"/>
          <w:szCs w:val="24"/>
        </w:rPr>
        <w:t>Co-ordinating activity between partners to ensure consistency and organising training as needed.</w:t>
      </w:r>
    </w:p>
    <w:p w14:paraId="7508C36D" w14:textId="6AC78315" w:rsidR="00CF0F11" w:rsidRDefault="00CF0F11" w:rsidP="005C0E6B">
      <w:pPr>
        <w:pStyle w:val="Default"/>
        <w:spacing w:line="276" w:lineRule="auto"/>
      </w:pPr>
    </w:p>
    <w:p w14:paraId="125EF2B8" w14:textId="05FED088" w:rsidR="00A8699B" w:rsidRPr="00EC717D" w:rsidRDefault="00EC717D" w:rsidP="005C0E6B">
      <w:pPr>
        <w:pStyle w:val="Default"/>
        <w:spacing w:line="276" w:lineRule="auto"/>
        <w:ind w:left="720" w:hanging="720"/>
        <w:rPr>
          <w:b/>
        </w:rPr>
      </w:pPr>
      <w:r w:rsidRPr="00EC717D">
        <w:rPr>
          <w:b/>
        </w:rPr>
        <w:t>4.</w:t>
      </w:r>
      <w:r w:rsidRPr="00EC717D">
        <w:rPr>
          <w:b/>
        </w:rPr>
        <w:tab/>
        <w:t>Future Options</w:t>
      </w:r>
    </w:p>
    <w:p w14:paraId="3FC6978F" w14:textId="6F2BFC1B" w:rsidR="00634693" w:rsidRDefault="00634693" w:rsidP="005C0E6B">
      <w:pPr>
        <w:pStyle w:val="Default"/>
        <w:spacing w:line="276" w:lineRule="auto"/>
        <w:ind w:left="720" w:hanging="720"/>
      </w:pPr>
    </w:p>
    <w:p w14:paraId="53B6A2DE" w14:textId="1DA09CA0" w:rsidR="00634693" w:rsidRDefault="00EC717D" w:rsidP="005C0E6B">
      <w:pPr>
        <w:pStyle w:val="Default"/>
        <w:spacing w:line="276" w:lineRule="auto"/>
        <w:ind w:left="720" w:hanging="720"/>
      </w:pPr>
      <w:r>
        <w:t>4.1</w:t>
      </w:r>
      <w:r>
        <w:tab/>
        <w:t>The Lead partner role is clearly essential as it acts as the glue that hold the partnership together. The role provides the single voice and leadership needed</w:t>
      </w:r>
      <w:r w:rsidR="00EE6B77">
        <w:t xml:space="preserve">. It </w:t>
      </w:r>
      <w:r>
        <w:t xml:space="preserve">provides a host of ‘back office’ functions and employs </w:t>
      </w:r>
      <w:r w:rsidR="00EE6B77">
        <w:t xml:space="preserve">the coordinator. </w:t>
      </w:r>
      <w:r>
        <w:t>York have performed this role with distinction over the years however they are leaving the partnership</w:t>
      </w:r>
      <w:r w:rsidR="00EE6B77">
        <w:t>. R</w:t>
      </w:r>
      <w:r>
        <w:t xml:space="preserve">emaining partners need to decide the best option going forward to sustain </w:t>
      </w:r>
      <w:r w:rsidR="00EE6B77">
        <w:t xml:space="preserve">the partnership. </w:t>
      </w:r>
    </w:p>
    <w:p w14:paraId="2FD0D48F" w14:textId="2CD37B61" w:rsidR="00EE6B77" w:rsidRDefault="00EE6B77" w:rsidP="005C0E6B">
      <w:pPr>
        <w:pStyle w:val="Default"/>
        <w:spacing w:line="276" w:lineRule="auto"/>
        <w:ind w:left="720" w:hanging="720"/>
      </w:pPr>
    </w:p>
    <w:p w14:paraId="48310963" w14:textId="69268E64" w:rsidR="00EE6B77" w:rsidRDefault="00EE6B77" w:rsidP="005C0E6B">
      <w:pPr>
        <w:pStyle w:val="Default"/>
        <w:spacing w:line="276" w:lineRule="auto"/>
        <w:ind w:left="720" w:hanging="720"/>
      </w:pPr>
      <w:r>
        <w:t>4.2</w:t>
      </w:r>
      <w:r>
        <w:tab/>
        <w:t xml:space="preserve">Options could include one partner stepping up to take on all of most of the functions or different functions being shared out between different partners. </w:t>
      </w:r>
    </w:p>
    <w:p w14:paraId="07317AA2" w14:textId="7CEAD155" w:rsidR="00EE6B77" w:rsidRDefault="00EE6B77" w:rsidP="005C0E6B">
      <w:pPr>
        <w:pStyle w:val="Default"/>
        <w:spacing w:line="276" w:lineRule="auto"/>
        <w:ind w:left="720" w:hanging="720"/>
      </w:pPr>
    </w:p>
    <w:p w14:paraId="2CD8EAD4" w14:textId="77777777" w:rsidR="00F03CC3" w:rsidRDefault="00EE6B77" w:rsidP="005C0E6B">
      <w:pPr>
        <w:pStyle w:val="Default"/>
        <w:spacing w:line="276" w:lineRule="auto"/>
        <w:ind w:left="720" w:hanging="720"/>
      </w:pPr>
      <w:r>
        <w:t>4.3</w:t>
      </w:r>
      <w:r>
        <w:tab/>
        <w:t xml:space="preserve">Further to the Home Choice Board meeting Broadacres have made an ‘in-principle’ offer to take on this role. </w:t>
      </w:r>
    </w:p>
    <w:p w14:paraId="163451B4" w14:textId="77777777" w:rsidR="00F03CC3" w:rsidRDefault="00F03CC3" w:rsidP="005C0E6B">
      <w:pPr>
        <w:pStyle w:val="Default"/>
        <w:spacing w:line="276" w:lineRule="auto"/>
        <w:ind w:left="720" w:hanging="720"/>
      </w:pPr>
    </w:p>
    <w:p w14:paraId="576D93D4" w14:textId="0BB0BC4B" w:rsidR="00EE6B77" w:rsidRDefault="00EE6B77" w:rsidP="00F03CC3">
      <w:pPr>
        <w:pStyle w:val="Default"/>
        <w:spacing w:line="276" w:lineRule="auto"/>
        <w:ind w:left="720"/>
      </w:pPr>
      <w:r>
        <w:t xml:space="preserve">It is understood that this offer is subject to: </w:t>
      </w:r>
    </w:p>
    <w:p w14:paraId="279743F8" w14:textId="15D727AF" w:rsidR="00EE6B77" w:rsidRDefault="00EE6B77" w:rsidP="005C0E6B">
      <w:pPr>
        <w:pStyle w:val="Default"/>
        <w:spacing w:line="276" w:lineRule="auto"/>
        <w:ind w:left="720" w:hanging="720"/>
      </w:pPr>
    </w:p>
    <w:p w14:paraId="7B676D7C" w14:textId="5F674301" w:rsidR="00EC717D" w:rsidRDefault="00EE6B77" w:rsidP="009304EB">
      <w:pPr>
        <w:pStyle w:val="Default"/>
        <w:numPr>
          <w:ilvl w:val="0"/>
          <w:numId w:val="9"/>
        </w:numPr>
        <w:spacing w:line="276" w:lineRule="auto"/>
      </w:pPr>
      <w:r>
        <w:t xml:space="preserve">The partnership being sure that this is lawful, </w:t>
      </w:r>
      <w:proofErr w:type="gramStart"/>
      <w:r>
        <w:t>e.g.</w:t>
      </w:r>
      <w:proofErr w:type="gramEnd"/>
      <w:r>
        <w:t xml:space="preserve"> an RP taking on the lead partnership role within a partnership that helps perform a statutory function for the respective housing authorities </w:t>
      </w:r>
    </w:p>
    <w:p w14:paraId="524767F8" w14:textId="6380879B" w:rsidR="006A655F" w:rsidRDefault="006A655F" w:rsidP="006A655F">
      <w:pPr>
        <w:pStyle w:val="Default"/>
        <w:numPr>
          <w:ilvl w:val="0"/>
          <w:numId w:val="9"/>
        </w:numPr>
        <w:spacing w:line="276" w:lineRule="auto"/>
      </w:pPr>
      <w:r>
        <w:lastRenderedPageBreak/>
        <w:t xml:space="preserve">Pension and TUPE issues concerning the employment of the co-ordinator can be resolved. </w:t>
      </w:r>
    </w:p>
    <w:p w14:paraId="54DF42AA" w14:textId="3B5AB84D" w:rsidR="006A655F" w:rsidRDefault="006A655F" w:rsidP="006A655F">
      <w:pPr>
        <w:pStyle w:val="Default"/>
        <w:spacing w:line="276" w:lineRule="auto"/>
      </w:pPr>
    </w:p>
    <w:p w14:paraId="225D26FC" w14:textId="77777777" w:rsidR="006A655F" w:rsidRDefault="006A655F" w:rsidP="006A655F">
      <w:pPr>
        <w:pStyle w:val="Default"/>
        <w:spacing w:line="276" w:lineRule="auto"/>
      </w:pPr>
    </w:p>
    <w:p w14:paraId="36B6A32E" w14:textId="0360274B" w:rsidR="006A655F" w:rsidRDefault="006A655F" w:rsidP="006A655F">
      <w:pPr>
        <w:pStyle w:val="Default"/>
        <w:spacing w:line="276" w:lineRule="auto"/>
        <w:ind w:left="720" w:hanging="720"/>
      </w:pPr>
      <w:r>
        <w:t>4.4</w:t>
      </w:r>
      <w:r>
        <w:tab/>
        <w:t xml:space="preserve">Whilst legal documentation shall need to be updated including the partnership agreement and MOU, it is not anticipated that an RP partner taking on a lead role within the partnership is likely to cause a problem. As per existing arrangements the statutory duty for allocations sits with each respective LA (and some Councils have separate agency agreements with their LSVT partners around the delivery of this statutory function that would not be impacted by this change). The partnership helps to facilitate a single policy approach </w:t>
      </w:r>
      <w:r w:rsidR="00F03CC3">
        <w:t xml:space="preserve">it does not perform the duties of an LA. </w:t>
      </w:r>
    </w:p>
    <w:p w14:paraId="7224EFAA" w14:textId="756F30F9" w:rsidR="006A655F" w:rsidRDefault="006A655F" w:rsidP="006A655F">
      <w:pPr>
        <w:pStyle w:val="Default"/>
        <w:spacing w:line="276" w:lineRule="auto"/>
      </w:pPr>
    </w:p>
    <w:p w14:paraId="45B6AE14" w14:textId="27F998AF" w:rsidR="006A655F" w:rsidRDefault="006A655F" w:rsidP="006A655F">
      <w:pPr>
        <w:pStyle w:val="Default"/>
        <w:spacing w:line="276" w:lineRule="auto"/>
        <w:ind w:left="720" w:hanging="720"/>
      </w:pPr>
      <w:r>
        <w:t>4.5</w:t>
      </w:r>
      <w:r>
        <w:tab/>
        <w:t>The mechanics of employing the co-ordinator however may be more problematic. It is accepted by the Board that this post is both essential and is protected under TUPE. A new employer is needed for this role. The post is currently employed by York and falls under the LGPS. Under TUPE a</w:t>
      </w:r>
      <w:r w:rsidR="00F03CC3">
        <w:t xml:space="preserve"> ‘broadly similar</w:t>
      </w:r>
      <w:r>
        <w:t xml:space="preserve"> pension</w:t>
      </w:r>
      <w:r w:rsidR="00F03CC3">
        <w:t>’</w:t>
      </w:r>
      <w:r>
        <w:t xml:space="preserve"> would need to be offered </w:t>
      </w:r>
      <w:r w:rsidR="00A86595">
        <w:t xml:space="preserve">and this may not be possible should a transfer to Broadacres be made. </w:t>
      </w:r>
    </w:p>
    <w:p w14:paraId="6209C82C" w14:textId="395BB80B" w:rsidR="00A86595" w:rsidRDefault="00A86595" w:rsidP="006A655F">
      <w:pPr>
        <w:pStyle w:val="Default"/>
        <w:spacing w:line="276" w:lineRule="auto"/>
        <w:ind w:left="720" w:hanging="720"/>
      </w:pPr>
    </w:p>
    <w:p w14:paraId="0EB0561D" w14:textId="442903A5" w:rsidR="00A86595" w:rsidRDefault="00A86595" w:rsidP="006A655F">
      <w:pPr>
        <w:pStyle w:val="Default"/>
        <w:spacing w:line="276" w:lineRule="auto"/>
        <w:ind w:left="720" w:hanging="720"/>
      </w:pPr>
      <w:r>
        <w:t>4.6</w:t>
      </w:r>
      <w:r>
        <w:tab/>
      </w:r>
      <w:r w:rsidR="00F03CC3">
        <w:t xml:space="preserve">As first step the LGPS pension would need to be compared to the Broadacres pension to determine whether it is broadly similar. If it is not then a </w:t>
      </w:r>
      <w:proofErr w:type="gramStart"/>
      <w:r w:rsidR="00F03CC3">
        <w:t xml:space="preserve">further </w:t>
      </w:r>
      <w:r>
        <w:t xml:space="preserve"> option</w:t>
      </w:r>
      <w:proofErr w:type="gramEnd"/>
      <w:r>
        <w:t xml:space="preserve"> could be that an LA partner takes on the employment responsibilities (thus</w:t>
      </w:r>
      <w:r w:rsidR="00F03CC3">
        <w:t xml:space="preserve"> affording the employee a continuation of existing pension arrangements</w:t>
      </w:r>
      <w:r>
        <w:t xml:space="preserve">) but that the day to day line management of the employee is taken on by Broadacres. </w:t>
      </w:r>
      <w:r w:rsidR="00F03CC3">
        <w:t xml:space="preserve">Whilst the employing LA would have full employment responsibilities and liabilities these could be discharged via a secondment agreement. </w:t>
      </w:r>
    </w:p>
    <w:p w14:paraId="747DAB87" w14:textId="5E5C876E" w:rsidR="00F03CC3" w:rsidRDefault="00F03CC3" w:rsidP="006A655F">
      <w:pPr>
        <w:pStyle w:val="Default"/>
        <w:spacing w:line="276" w:lineRule="auto"/>
        <w:ind w:left="720" w:hanging="720"/>
      </w:pPr>
    </w:p>
    <w:p w14:paraId="1EC4600E" w14:textId="03B2CA2E" w:rsidR="00F03CC3" w:rsidRDefault="00F03CC3" w:rsidP="006A655F">
      <w:pPr>
        <w:pStyle w:val="Default"/>
        <w:spacing w:line="276" w:lineRule="auto"/>
        <w:ind w:left="720" w:hanging="720"/>
      </w:pPr>
      <w:r>
        <w:t>4.7</w:t>
      </w:r>
      <w:r>
        <w:tab/>
        <w:t xml:space="preserve">Whilst there is a willingness from each partner to take an </w:t>
      </w:r>
      <w:proofErr w:type="gramStart"/>
      <w:r>
        <w:t>elements of the role</w:t>
      </w:r>
      <w:proofErr w:type="gramEnd"/>
      <w:r>
        <w:t xml:space="preserve"> as an interim measure it is accepted that this approach would not be ideal (and could be disjointed).</w:t>
      </w:r>
      <w:r w:rsidR="003F0363" w:rsidRPr="003F0363">
        <w:t xml:space="preserve"> </w:t>
      </w:r>
      <w:r w:rsidR="003F0363">
        <w:t xml:space="preserve">The offer from Broadacres is timely and appreciated. </w:t>
      </w:r>
    </w:p>
    <w:p w14:paraId="7F025DC1" w14:textId="77777777" w:rsidR="006A655F" w:rsidRPr="00634693" w:rsidRDefault="006A655F" w:rsidP="006A655F">
      <w:pPr>
        <w:pStyle w:val="Default"/>
        <w:spacing w:line="276" w:lineRule="auto"/>
      </w:pPr>
    </w:p>
    <w:p w14:paraId="5F923B8F" w14:textId="77777777" w:rsidR="00A8699B" w:rsidRDefault="00A8699B" w:rsidP="005C0E6B">
      <w:pPr>
        <w:pStyle w:val="Default"/>
        <w:spacing w:line="276" w:lineRule="auto"/>
        <w:rPr>
          <w:b/>
        </w:rPr>
      </w:pPr>
      <w:r>
        <w:rPr>
          <w:b/>
          <w:bCs/>
          <w:noProof/>
          <w:lang w:eastAsia="en-GB"/>
        </w:rPr>
        <mc:AlternateContent>
          <mc:Choice Requires="wps">
            <w:drawing>
              <wp:anchor distT="0" distB="0" distL="114300" distR="114300" simplePos="0" relativeHeight="251661312" behindDoc="0" locked="0" layoutInCell="1" allowOverlap="1" wp14:anchorId="17B14CDA" wp14:editId="15320F65">
                <wp:simplePos x="0" y="0"/>
                <wp:positionH relativeFrom="column">
                  <wp:posOffset>-91440</wp:posOffset>
                </wp:positionH>
                <wp:positionV relativeFrom="paragraph">
                  <wp:posOffset>46355</wp:posOffset>
                </wp:positionV>
                <wp:extent cx="5836920" cy="14097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5836920" cy="140970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64AE91" w14:textId="09E367E3" w:rsidR="00A8699B" w:rsidRDefault="00F03CC3" w:rsidP="00A8699B">
                            <w:pPr>
                              <w:pStyle w:val="Default"/>
                              <w:rPr>
                                <w:b/>
                                <w:bCs/>
                              </w:rPr>
                            </w:pPr>
                            <w:r>
                              <w:rPr>
                                <w:b/>
                                <w:bCs/>
                              </w:rPr>
                              <w:t xml:space="preserve">5 </w:t>
                            </w:r>
                            <w:r>
                              <w:rPr>
                                <w:b/>
                                <w:bCs/>
                              </w:rPr>
                              <w:tab/>
                            </w:r>
                            <w:r w:rsidR="00A8699B">
                              <w:rPr>
                                <w:b/>
                                <w:bCs/>
                              </w:rPr>
                              <w:t>Recommendations</w:t>
                            </w:r>
                          </w:p>
                          <w:p w14:paraId="2289ACB2" w14:textId="77777777" w:rsidR="00A8699B" w:rsidRDefault="00A8699B" w:rsidP="00A8699B">
                            <w:pPr>
                              <w:pStyle w:val="Default"/>
                            </w:pPr>
                          </w:p>
                          <w:p w14:paraId="3E5C9AD6" w14:textId="564B86F2" w:rsidR="00F03CC3" w:rsidRPr="00A8699B" w:rsidRDefault="00F03CC3" w:rsidP="00F03CC3">
                            <w:pPr>
                              <w:pStyle w:val="Default"/>
                              <w:spacing w:line="276" w:lineRule="auto"/>
                            </w:pPr>
                            <w:r>
                              <w:t xml:space="preserve">It is recommended that CHOG </w:t>
                            </w:r>
                            <w:r w:rsidR="003F0363">
                              <w:t xml:space="preserve">accepts the offer from Broadacres subject to resolution of the legal and </w:t>
                            </w:r>
                            <w:r w:rsidR="00062590">
                              <w:t>pension</w:t>
                            </w:r>
                            <w:r w:rsidR="003F0363">
                              <w:t xml:space="preserve"> issue</w:t>
                            </w:r>
                            <w:r w:rsidR="00AE242A">
                              <w:t xml:space="preserve">s highlighted </w:t>
                            </w:r>
                            <w:r w:rsidR="003F0363">
                              <w:t xml:space="preserve">and that the Home Choice Board is instructed to </w:t>
                            </w:r>
                            <w:r w:rsidR="00AE242A">
                              <w:t>support as needed both</w:t>
                            </w:r>
                            <w:r w:rsidR="003F0363">
                              <w:t xml:space="preserve"> Broadacres and York to ensure the smooth transition of this role.  </w:t>
                            </w:r>
                          </w:p>
                          <w:p w14:paraId="233C9F7B" w14:textId="77777777" w:rsidR="00A8699B" w:rsidRDefault="00A8699B" w:rsidP="00A86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14CDA" id="Text Box 2" o:spid="_x0000_s1027" type="#_x0000_t202" style="position:absolute;margin-left:-7.2pt;margin-top:3.65pt;width:459.6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" fillcolor="white [3201]">
                <v:textbox>
                  <w:txbxContent>
                    <w:p w14:paraId="2564AE91" w14:textId="09E367E3" w:rsidR="00A8699B" w:rsidRDefault="00F03CC3" w:rsidP="00A8699B">
                      <w:pPr>
                        <w:pStyle w:val="Default"/>
                        <w:rPr>
                          <w:b/>
                          <w:bCs/>
                        </w:rPr>
                      </w:pPr>
                      <w:r>
                        <w:rPr>
                          <w:b/>
                          <w:bCs/>
                        </w:rPr>
                        <w:t xml:space="preserve">5 </w:t>
                      </w:r>
                      <w:r>
                        <w:rPr>
                          <w:b/>
                          <w:bCs/>
                        </w:rPr>
                        <w:tab/>
                      </w:r>
                      <w:r w:rsidR="00A8699B">
                        <w:rPr>
                          <w:b/>
                          <w:bCs/>
                        </w:rPr>
                        <w:t>Recommendations</w:t>
                      </w:r>
                    </w:p>
                    <w:p w14:paraId="2289ACB2" w14:textId="77777777" w:rsidR="00A8699B" w:rsidRDefault="00A8699B" w:rsidP="00A8699B">
                      <w:pPr>
                        <w:pStyle w:val="Default"/>
                      </w:pPr>
                    </w:p>
                    <w:p w14:paraId="3E5C9AD6" w14:textId="564B86F2" w:rsidR="00F03CC3" w:rsidRPr="00A8699B" w:rsidRDefault="00F03CC3" w:rsidP="00F03CC3">
                      <w:pPr>
                        <w:pStyle w:val="Default"/>
                        <w:spacing w:line="276" w:lineRule="auto"/>
                      </w:pPr>
                      <w:r>
                        <w:t xml:space="preserve">It is recommended that CHOG </w:t>
                      </w:r>
                      <w:r w:rsidR="003F0363">
                        <w:t xml:space="preserve">accepts the offer from Broadacres subject to resolution of the legal and </w:t>
                      </w:r>
                      <w:r w:rsidR="00062590">
                        <w:t>pension</w:t>
                      </w:r>
                      <w:r w:rsidR="003F0363">
                        <w:t xml:space="preserve"> issue</w:t>
                      </w:r>
                      <w:r w:rsidR="00AE242A">
                        <w:t xml:space="preserve">s highlighted </w:t>
                      </w:r>
                      <w:r w:rsidR="003F0363">
                        <w:t xml:space="preserve">and that the Home Choice Board is instructed to </w:t>
                      </w:r>
                      <w:r w:rsidR="00AE242A">
                        <w:t>support as needed both</w:t>
                      </w:r>
                      <w:r w:rsidR="003F0363">
                        <w:t xml:space="preserve"> Broadacres and York to ensure the smooth transition of this role.  </w:t>
                      </w:r>
                    </w:p>
                    <w:p w14:paraId="233C9F7B" w14:textId="77777777" w:rsidR="00A8699B" w:rsidRDefault="00A8699B" w:rsidP="00A8699B"/>
                  </w:txbxContent>
                </v:textbox>
              </v:shape>
            </w:pict>
          </mc:Fallback>
        </mc:AlternateContent>
      </w:r>
    </w:p>
    <w:p w14:paraId="0803B811" w14:textId="77777777" w:rsidR="00A8699B" w:rsidRDefault="00A8699B" w:rsidP="005C0E6B">
      <w:pPr>
        <w:pStyle w:val="Default"/>
        <w:spacing w:line="276" w:lineRule="auto"/>
        <w:rPr>
          <w:b/>
        </w:rPr>
      </w:pPr>
    </w:p>
    <w:p w14:paraId="11B912DC" w14:textId="77777777" w:rsidR="00A8699B" w:rsidRDefault="00A8699B" w:rsidP="005C0E6B">
      <w:pPr>
        <w:pStyle w:val="Default"/>
        <w:spacing w:line="276" w:lineRule="auto"/>
        <w:rPr>
          <w:b/>
        </w:rPr>
      </w:pPr>
    </w:p>
    <w:p w14:paraId="04153B9F" w14:textId="77777777" w:rsidR="00A8699B" w:rsidRDefault="00A8699B" w:rsidP="005C0E6B">
      <w:pPr>
        <w:pStyle w:val="Default"/>
        <w:spacing w:line="276" w:lineRule="auto"/>
        <w:rPr>
          <w:b/>
        </w:rPr>
      </w:pPr>
    </w:p>
    <w:p w14:paraId="3D9CF0FE" w14:textId="77777777" w:rsidR="00A8699B" w:rsidRDefault="00A8699B" w:rsidP="005C0E6B">
      <w:pPr>
        <w:pStyle w:val="Default"/>
        <w:spacing w:line="276" w:lineRule="auto"/>
        <w:rPr>
          <w:b/>
        </w:rPr>
      </w:pPr>
    </w:p>
    <w:p w14:paraId="48D61CE2" w14:textId="77777777" w:rsidR="00A8699B" w:rsidRDefault="00A8699B" w:rsidP="005C0E6B">
      <w:pPr>
        <w:pStyle w:val="Default"/>
        <w:spacing w:line="276" w:lineRule="auto"/>
        <w:rPr>
          <w:b/>
        </w:rPr>
      </w:pPr>
    </w:p>
    <w:p w14:paraId="591EF76C" w14:textId="77777777" w:rsidR="00A8699B" w:rsidRDefault="00A8699B" w:rsidP="005C0E6B">
      <w:pPr>
        <w:pStyle w:val="Default"/>
        <w:spacing w:line="276" w:lineRule="auto"/>
        <w:rPr>
          <w:b/>
        </w:rPr>
      </w:pPr>
    </w:p>
    <w:p w14:paraId="1406C49A" w14:textId="77777777" w:rsidR="00A8699B" w:rsidRDefault="00A8699B" w:rsidP="005C0E6B">
      <w:pPr>
        <w:pStyle w:val="Default"/>
        <w:spacing w:line="276" w:lineRule="auto"/>
        <w:rPr>
          <w:b/>
        </w:rPr>
      </w:pPr>
    </w:p>
    <w:p w14:paraId="62B0FDAB" w14:textId="77777777" w:rsidR="00A8699B" w:rsidRDefault="00A8699B" w:rsidP="005C0E6B">
      <w:pPr>
        <w:pStyle w:val="Default"/>
        <w:spacing w:line="276" w:lineRule="auto"/>
        <w:rPr>
          <w:b/>
        </w:rPr>
      </w:pPr>
    </w:p>
    <w:p w14:paraId="3B006C07" w14:textId="77777777" w:rsidR="00A8699B" w:rsidRDefault="00A8699B" w:rsidP="005C0E6B">
      <w:pPr>
        <w:pStyle w:val="Default"/>
        <w:spacing w:line="276" w:lineRule="auto"/>
        <w:rPr>
          <w:b/>
        </w:rPr>
      </w:pPr>
    </w:p>
    <w:p w14:paraId="1A3D1965" w14:textId="77777777" w:rsidR="00A8699B" w:rsidRDefault="00A8699B" w:rsidP="005C0E6B">
      <w:pPr>
        <w:pStyle w:val="Default"/>
        <w:spacing w:line="276" w:lineRule="auto"/>
        <w:rPr>
          <w:b/>
        </w:rPr>
      </w:pPr>
    </w:p>
    <w:p w14:paraId="68269E45" w14:textId="77777777" w:rsidR="009F61FE" w:rsidRDefault="009F61FE" w:rsidP="005C0E6B">
      <w:pPr>
        <w:pStyle w:val="Default"/>
        <w:spacing w:line="276" w:lineRule="auto"/>
        <w:rPr>
          <w:b/>
        </w:rPr>
      </w:pPr>
    </w:p>
    <w:p w14:paraId="1AF961EB" w14:textId="08A6AB1C" w:rsidR="009F61FE" w:rsidRDefault="009F61FE" w:rsidP="005C0E6B">
      <w:pPr>
        <w:pStyle w:val="Default"/>
        <w:spacing w:line="276" w:lineRule="auto"/>
        <w:rPr>
          <w:b/>
        </w:rPr>
      </w:pPr>
    </w:p>
    <w:p w14:paraId="7CFF0F22" w14:textId="6D5D9EF8" w:rsidR="00F554D9" w:rsidRDefault="00F554D9" w:rsidP="005C0E6B">
      <w:pPr>
        <w:pStyle w:val="Default"/>
        <w:spacing w:line="276" w:lineRule="auto"/>
        <w:rPr>
          <w:b/>
        </w:rPr>
      </w:pPr>
    </w:p>
    <w:p w14:paraId="3BA87FAA" w14:textId="77777777" w:rsidR="00F554D9" w:rsidRDefault="00F554D9" w:rsidP="005C0E6B">
      <w:pPr>
        <w:pStyle w:val="Default"/>
        <w:spacing w:line="276" w:lineRule="auto"/>
        <w:rPr>
          <w:b/>
        </w:rPr>
      </w:pPr>
    </w:p>
    <w:p w14:paraId="725342F0" w14:textId="4C7DB659" w:rsidR="00A8699B" w:rsidRDefault="00A015C5" w:rsidP="005C0E6B">
      <w:pPr>
        <w:pStyle w:val="Default"/>
        <w:spacing w:line="276" w:lineRule="auto"/>
        <w:rPr>
          <w:b/>
        </w:rPr>
      </w:pPr>
      <w:r>
        <w:rPr>
          <w:b/>
        </w:rPr>
        <w:t>Andrew Rowe</w:t>
      </w:r>
    </w:p>
    <w:p w14:paraId="0DC96182" w14:textId="698ABB35" w:rsidR="00A015C5" w:rsidRDefault="00A015C5" w:rsidP="005C0E6B">
      <w:pPr>
        <w:pStyle w:val="Default"/>
        <w:spacing w:line="276" w:lineRule="auto"/>
        <w:rPr>
          <w:b/>
        </w:rPr>
      </w:pPr>
      <w:r>
        <w:rPr>
          <w:b/>
        </w:rPr>
        <w:t>Head of Housing</w:t>
      </w:r>
    </w:p>
    <w:p w14:paraId="0A3CDE23" w14:textId="56E66779" w:rsidR="00A015C5" w:rsidRDefault="00A015C5" w:rsidP="005C0E6B">
      <w:pPr>
        <w:pStyle w:val="Default"/>
        <w:spacing w:line="276" w:lineRule="auto"/>
        <w:rPr>
          <w:b/>
        </w:rPr>
      </w:pPr>
      <w:r>
        <w:rPr>
          <w:b/>
        </w:rPr>
        <w:t xml:space="preserve">Scarborough Borough Council </w:t>
      </w:r>
    </w:p>
    <w:p w14:paraId="2AEDD127" w14:textId="0973CD23" w:rsidR="00A8699B" w:rsidRPr="00A8699B" w:rsidRDefault="00A8699B" w:rsidP="005C0E6B">
      <w:pPr>
        <w:pStyle w:val="Default"/>
        <w:spacing w:line="276" w:lineRule="auto"/>
        <w:rPr>
          <w:b/>
        </w:rPr>
      </w:pPr>
    </w:p>
    <w:sectPr w:rsidR="00A8699B" w:rsidRPr="00A8699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0B93" w14:textId="77777777" w:rsidR="00F63FB9" w:rsidRDefault="00F63FB9" w:rsidP="004911A1">
      <w:pPr>
        <w:spacing w:after="0" w:line="240" w:lineRule="auto"/>
      </w:pPr>
      <w:r>
        <w:separator/>
      </w:r>
    </w:p>
  </w:endnote>
  <w:endnote w:type="continuationSeparator" w:id="0">
    <w:p w14:paraId="42BDCDFC" w14:textId="77777777" w:rsidR="00F63FB9" w:rsidRDefault="00F63FB9" w:rsidP="0049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303503"/>
      <w:docPartObj>
        <w:docPartGallery w:val="Page Numbers (Bottom of Page)"/>
        <w:docPartUnique/>
      </w:docPartObj>
    </w:sdtPr>
    <w:sdtEndPr>
      <w:rPr>
        <w:noProof/>
      </w:rPr>
    </w:sdtEndPr>
    <w:sdtContent>
      <w:p w14:paraId="6A4FEB4F" w14:textId="25873854" w:rsidR="00E538DA" w:rsidRDefault="00E538DA">
        <w:pPr>
          <w:pStyle w:val="Footer"/>
          <w:jc w:val="right"/>
        </w:pPr>
        <w:r>
          <w:fldChar w:fldCharType="begin"/>
        </w:r>
        <w:r>
          <w:instrText xml:space="preserve"> PAGE   \* MERGEFORMAT </w:instrText>
        </w:r>
        <w:r>
          <w:fldChar w:fldCharType="separate"/>
        </w:r>
        <w:r w:rsidR="00062590">
          <w:rPr>
            <w:noProof/>
          </w:rPr>
          <w:t>3</w:t>
        </w:r>
        <w:r>
          <w:rPr>
            <w:noProof/>
          </w:rPr>
          <w:fldChar w:fldCharType="end"/>
        </w:r>
      </w:p>
    </w:sdtContent>
  </w:sdt>
  <w:p w14:paraId="12EB1C78" w14:textId="627D7256" w:rsidR="004911A1" w:rsidRDefault="00757F12">
    <w:pPr>
      <w:pStyle w:val="Footer"/>
    </w:pPr>
    <w:r>
      <w:rPr>
        <w:noProof/>
        <w:lang w:eastAsia="en-GB"/>
      </w:rPr>
      <mc:AlternateContent>
        <mc:Choice Requires="wps">
          <w:drawing>
            <wp:anchor distT="0" distB="0" distL="114300" distR="114300" simplePos="0" relativeHeight="251659264" behindDoc="0" locked="0" layoutInCell="0" allowOverlap="1" wp14:anchorId="01983CE4" wp14:editId="6CE7E777">
              <wp:simplePos x="0" y="0"/>
              <wp:positionH relativeFrom="page">
                <wp:posOffset>0</wp:posOffset>
              </wp:positionH>
              <wp:positionV relativeFrom="page">
                <wp:posOffset>10227945</wp:posOffset>
              </wp:positionV>
              <wp:extent cx="7560310" cy="273050"/>
              <wp:effectExtent l="0" t="0" r="0" b="12700"/>
              <wp:wrapNone/>
              <wp:docPr id="3" name="MSIPCM7c3c4d18904b10a5c036cbf9"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4977E3" w14:textId="42FA7C31" w:rsidR="00757F12" w:rsidRPr="00757F12" w:rsidRDefault="00757F12" w:rsidP="00A015C5">
                          <w:pPr>
                            <w:spacing w:after="0"/>
                            <w:rPr>
                              <w:rFonts w:ascii="Calibri" w:hAnsi="Calibri"/>
                              <w:color w:val="FF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983CE4" id="_x0000_t202" coordsize="21600,21600" o:spt="202" path="m,l,21600r21600,l21600,xe">
              <v:stroke joinstyle="miter"/>
              <v:path gradientshapeok="t" o:connecttype="rect"/>
            </v:shapetype>
            <v:shape id="MSIPCM7c3c4d18904b10a5c036cbf9" o:spid="_x0000_s1028" type="#_x0000_t202" alt="{&quot;HashCode&quot;:-27485075,&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BKx46gWAwAANQYAAA4AAAAAAAAAAAAAAAAA&#10;LgIAAGRycy9lMm9Eb2MueG1sUEsBAi0AFAAGAAgAAAAhAJ/VQezfAAAACwEAAA8AAAAAAAAAAAAA&#10;AAAAcAUAAGRycy9kb3ducmV2LnhtbFBLBQYAAAAABAAEAPMAAAB8BgAAAAA=&#10;" o:allowincell="f" filled="f" stroked="f" strokeweight=".5pt">
              <v:textbox inset=",0,,0">
                <w:txbxContent>
                  <w:p w14:paraId="7F4977E3" w14:textId="42FA7C31" w:rsidR="00757F12" w:rsidRPr="00757F12" w:rsidRDefault="00757F12" w:rsidP="00A015C5">
                    <w:pPr>
                      <w:spacing w:after="0"/>
                      <w:rPr>
                        <w:rFonts w:ascii="Calibri" w:hAnsi="Calibri"/>
                        <w:color w:val="FF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BB28" w14:textId="77777777" w:rsidR="00F63FB9" w:rsidRDefault="00F63FB9" w:rsidP="004911A1">
      <w:pPr>
        <w:spacing w:after="0" w:line="240" w:lineRule="auto"/>
      </w:pPr>
      <w:r>
        <w:separator/>
      </w:r>
    </w:p>
  </w:footnote>
  <w:footnote w:type="continuationSeparator" w:id="0">
    <w:p w14:paraId="2C09CE61" w14:textId="77777777" w:rsidR="00F63FB9" w:rsidRDefault="00F63FB9" w:rsidP="00491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7C8"/>
    <w:multiLevelType w:val="hybridMultilevel"/>
    <w:tmpl w:val="75BE943C"/>
    <w:lvl w:ilvl="0" w:tplc="582C1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D19E0"/>
    <w:multiLevelType w:val="hybridMultilevel"/>
    <w:tmpl w:val="CE5AD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217E4C"/>
    <w:multiLevelType w:val="hybridMultilevel"/>
    <w:tmpl w:val="1E389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2029F"/>
    <w:multiLevelType w:val="multilevel"/>
    <w:tmpl w:val="66EE35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854C5E"/>
    <w:multiLevelType w:val="hybridMultilevel"/>
    <w:tmpl w:val="0BDC74A0"/>
    <w:lvl w:ilvl="0" w:tplc="B81A3A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0D15E88"/>
    <w:multiLevelType w:val="hybridMultilevel"/>
    <w:tmpl w:val="AB1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F18F5"/>
    <w:multiLevelType w:val="hybridMultilevel"/>
    <w:tmpl w:val="E25A19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5B38AA"/>
    <w:multiLevelType w:val="multilevel"/>
    <w:tmpl w:val="243A4D2A"/>
    <w:lvl w:ilvl="0">
      <w:start w:val="1"/>
      <w:numFmt w:val="decimal"/>
      <w:lvlText w:val="%1.0"/>
      <w:lvlJc w:val="left"/>
      <w:pPr>
        <w:ind w:left="644" w:hanging="360"/>
      </w:pPr>
      <w:rPr>
        <w:rFonts w:ascii="Arial" w:hAnsi="Arial" w:hint="default"/>
        <w:sz w:val="24"/>
      </w:rPr>
    </w:lvl>
    <w:lvl w:ilvl="1">
      <w:start w:val="1"/>
      <w:numFmt w:val="decimal"/>
      <w:lvlText w:val="%1.%2"/>
      <w:lvlJc w:val="left"/>
      <w:pPr>
        <w:ind w:left="786" w:hanging="360"/>
      </w:pPr>
      <w:rPr>
        <w:rFonts w:hint="default"/>
        <w:b w:val="0"/>
        <w:i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077" w:hanging="35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D7C1C67"/>
    <w:multiLevelType w:val="hybridMultilevel"/>
    <w:tmpl w:val="97422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4421525"/>
    <w:multiLevelType w:val="hybridMultilevel"/>
    <w:tmpl w:val="48789ECA"/>
    <w:lvl w:ilvl="0" w:tplc="B2644B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0C3D0B"/>
    <w:multiLevelType w:val="multilevel"/>
    <w:tmpl w:val="1DDCFE4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35718C9"/>
    <w:multiLevelType w:val="hybridMultilevel"/>
    <w:tmpl w:val="DAF8F83E"/>
    <w:lvl w:ilvl="0" w:tplc="B81A3A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C761EC6"/>
    <w:multiLevelType w:val="multilevel"/>
    <w:tmpl w:val="AB36E91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8"/>
  </w:num>
  <w:num w:numId="4">
    <w:abstractNumId w:val="7"/>
  </w:num>
  <w:num w:numId="5">
    <w:abstractNumId w:val="5"/>
  </w:num>
  <w:num w:numId="6">
    <w:abstractNumId w:val="10"/>
  </w:num>
  <w:num w:numId="7">
    <w:abstractNumId w:val="2"/>
  </w:num>
  <w:num w:numId="8">
    <w:abstractNumId w:val="9"/>
  </w:num>
  <w:num w:numId="9">
    <w:abstractNumId w:val="11"/>
  </w:num>
  <w:num w:numId="10">
    <w:abstractNumId w:val="3"/>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99B"/>
    <w:rsid w:val="0002153F"/>
    <w:rsid w:val="00061C33"/>
    <w:rsid w:val="00062590"/>
    <w:rsid w:val="00133A18"/>
    <w:rsid w:val="00156182"/>
    <w:rsid w:val="001B4AC1"/>
    <w:rsid w:val="00213942"/>
    <w:rsid w:val="002A72C6"/>
    <w:rsid w:val="002B6790"/>
    <w:rsid w:val="00306A65"/>
    <w:rsid w:val="003351B9"/>
    <w:rsid w:val="003459AF"/>
    <w:rsid w:val="00355504"/>
    <w:rsid w:val="00363BDF"/>
    <w:rsid w:val="003765C8"/>
    <w:rsid w:val="003770BE"/>
    <w:rsid w:val="003F0363"/>
    <w:rsid w:val="00401312"/>
    <w:rsid w:val="0042104B"/>
    <w:rsid w:val="004672AF"/>
    <w:rsid w:val="004911A1"/>
    <w:rsid w:val="004F2A42"/>
    <w:rsid w:val="005375EB"/>
    <w:rsid w:val="00540F8C"/>
    <w:rsid w:val="005A559C"/>
    <w:rsid w:val="005C0E6B"/>
    <w:rsid w:val="005E1BAC"/>
    <w:rsid w:val="00607B02"/>
    <w:rsid w:val="00634693"/>
    <w:rsid w:val="006474C2"/>
    <w:rsid w:val="006608BE"/>
    <w:rsid w:val="006A655F"/>
    <w:rsid w:val="006B036C"/>
    <w:rsid w:val="007044CD"/>
    <w:rsid w:val="00757F12"/>
    <w:rsid w:val="0077267D"/>
    <w:rsid w:val="00823869"/>
    <w:rsid w:val="008C197F"/>
    <w:rsid w:val="00900E9E"/>
    <w:rsid w:val="009D559B"/>
    <w:rsid w:val="009F61FE"/>
    <w:rsid w:val="00A015C5"/>
    <w:rsid w:val="00A86595"/>
    <w:rsid w:val="00A8699B"/>
    <w:rsid w:val="00A918E3"/>
    <w:rsid w:val="00AC67A4"/>
    <w:rsid w:val="00AE242A"/>
    <w:rsid w:val="00B25AE5"/>
    <w:rsid w:val="00B731B8"/>
    <w:rsid w:val="00BE3A5A"/>
    <w:rsid w:val="00C1117D"/>
    <w:rsid w:val="00C145FF"/>
    <w:rsid w:val="00C64A21"/>
    <w:rsid w:val="00CD22A4"/>
    <w:rsid w:val="00CF053B"/>
    <w:rsid w:val="00CF0F11"/>
    <w:rsid w:val="00D024A0"/>
    <w:rsid w:val="00D41583"/>
    <w:rsid w:val="00D55BE5"/>
    <w:rsid w:val="00D80A29"/>
    <w:rsid w:val="00E538DA"/>
    <w:rsid w:val="00E72586"/>
    <w:rsid w:val="00EC717D"/>
    <w:rsid w:val="00ED13EA"/>
    <w:rsid w:val="00EE6B77"/>
    <w:rsid w:val="00F03CC3"/>
    <w:rsid w:val="00F41A28"/>
    <w:rsid w:val="00F554D9"/>
    <w:rsid w:val="00F55DFC"/>
    <w:rsid w:val="00F606A6"/>
    <w:rsid w:val="00F63FB9"/>
    <w:rsid w:val="00FB0A23"/>
    <w:rsid w:val="00FB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5322FE"/>
  <w15:docId w15:val="{20ED4831-2A62-4AFA-BD9A-2D3BDA80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99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91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1A1"/>
  </w:style>
  <w:style w:type="paragraph" w:styleId="Footer">
    <w:name w:val="footer"/>
    <w:basedOn w:val="Normal"/>
    <w:link w:val="FooterChar"/>
    <w:uiPriority w:val="99"/>
    <w:unhideWhenUsed/>
    <w:rsid w:val="00491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1A1"/>
  </w:style>
  <w:style w:type="paragraph" w:styleId="ListParagraph">
    <w:name w:val="List Paragraph"/>
    <w:basedOn w:val="Normal"/>
    <w:uiPriority w:val="34"/>
    <w:qFormat/>
    <w:rsid w:val="003459AF"/>
    <w:pPr>
      <w:ind w:left="720"/>
      <w:contextualSpacing/>
    </w:pPr>
    <w:rPr>
      <w:rFonts w:ascii="Calibri" w:eastAsia="Calibri" w:hAnsi="Calibri" w:cs="Times New Roman"/>
    </w:rPr>
  </w:style>
  <w:style w:type="table" w:styleId="TableGrid">
    <w:name w:val="Table Grid"/>
    <w:basedOn w:val="TableNormal"/>
    <w:uiPriority w:val="39"/>
    <w:rsid w:val="00ED1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54D9"/>
    <w:rPr>
      <w:sz w:val="16"/>
      <w:szCs w:val="16"/>
    </w:rPr>
  </w:style>
  <w:style w:type="paragraph" w:styleId="CommentText">
    <w:name w:val="annotation text"/>
    <w:basedOn w:val="Normal"/>
    <w:link w:val="CommentTextChar"/>
    <w:uiPriority w:val="99"/>
    <w:semiHidden/>
    <w:unhideWhenUsed/>
    <w:rsid w:val="00F554D9"/>
    <w:pPr>
      <w:spacing w:line="240" w:lineRule="auto"/>
    </w:pPr>
    <w:rPr>
      <w:sz w:val="20"/>
      <w:szCs w:val="20"/>
    </w:rPr>
  </w:style>
  <w:style w:type="character" w:customStyle="1" w:styleId="CommentTextChar">
    <w:name w:val="Comment Text Char"/>
    <w:basedOn w:val="DefaultParagraphFont"/>
    <w:link w:val="CommentText"/>
    <w:uiPriority w:val="99"/>
    <w:semiHidden/>
    <w:rsid w:val="00F554D9"/>
    <w:rPr>
      <w:sz w:val="20"/>
      <w:szCs w:val="20"/>
    </w:rPr>
  </w:style>
  <w:style w:type="paragraph" w:styleId="CommentSubject">
    <w:name w:val="annotation subject"/>
    <w:basedOn w:val="CommentText"/>
    <w:next w:val="CommentText"/>
    <w:link w:val="CommentSubjectChar"/>
    <w:uiPriority w:val="99"/>
    <w:semiHidden/>
    <w:unhideWhenUsed/>
    <w:rsid w:val="00F554D9"/>
    <w:rPr>
      <w:b/>
      <w:bCs/>
    </w:rPr>
  </w:style>
  <w:style w:type="character" w:customStyle="1" w:styleId="CommentSubjectChar">
    <w:name w:val="Comment Subject Char"/>
    <w:basedOn w:val="CommentTextChar"/>
    <w:link w:val="CommentSubject"/>
    <w:uiPriority w:val="99"/>
    <w:semiHidden/>
    <w:rsid w:val="00F554D9"/>
    <w:rPr>
      <w:b/>
      <w:bCs/>
      <w:sz w:val="20"/>
      <w:szCs w:val="20"/>
    </w:rPr>
  </w:style>
  <w:style w:type="paragraph" w:styleId="BalloonText">
    <w:name w:val="Balloon Text"/>
    <w:basedOn w:val="Normal"/>
    <w:link w:val="BalloonTextChar"/>
    <w:uiPriority w:val="99"/>
    <w:semiHidden/>
    <w:unhideWhenUsed/>
    <w:rsid w:val="00F55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40D76DA5839428FA6D2BF9E215282" ma:contentTypeVersion="7" ma:contentTypeDescription="Create a new document." ma:contentTypeScope="" ma:versionID="5ceb493771546340750005dc41f65518">
  <xsd:schema xmlns:xsd="http://www.w3.org/2001/XMLSchema" xmlns:xs="http://www.w3.org/2001/XMLSchema" xmlns:p="http://schemas.microsoft.com/office/2006/metadata/properties" xmlns:ns3="9d295506-2bb8-4975-9d85-043c61dd68ba" targetNamespace="http://schemas.microsoft.com/office/2006/metadata/properties" ma:root="true" ma:fieldsID="47d4f8aa1adfc045fc65da77597e03cc" ns3:_="">
    <xsd:import namespace="9d295506-2bb8-4975-9d85-043c61dd6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95506-2bb8-4975-9d85-043c61dd6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BD320-4919-45ED-BDE3-4C38A01F0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95506-2bb8-4975-9d85-043c61dd6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FBC3F-F562-4B23-838C-D5340262B787}">
  <ds:schemaRefs>
    <ds:schemaRef ds:uri="http://schemas.microsoft.com/sharepoint/v3/contenttype/forms"/>
  </ds:schemaRefs>
</ds:datastoreItem>
</file>

<file path=customXml/itemProps3.xml><?xml version="1.0" encoding="utf-8"?>
<ds:datastoreItem xmlns:ds="http://schemas.openxmlformats.org/officeDocument/2006/customXml" ds:itemID="{7E792611-2F9A-4C8B-809C-2CA905A9E62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d295506-2bb8-4975-9d85-043c61dd68ba"/>
    <ds:schemaRef ds:uri="http://www.w3.org/XML/1998/namespace"/>
    <ds:schemaRef ds:uri="http://purl.org/dc/dcmitype/"/>
  </ds:schemaRefs>
</ds:datastoreItem>
</file>

<file path=customXml/itemProps4.xml><?xml version="1.0" encoding="utf-8"?>
<ds:datastoreItem xmlns:ds="http://schemas.openxmlformats.org/officeDocument/2006/customXml" ds:itemID="{C86B3D6D-1572-4983-947D-E82265DE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Hugill</dc:creator>
  <cp:lastModifiedBy>Dales, Colin</cp:lastModifiedBy>
  <cp:revision>3</cp:revision>
  <dcterms:created xsi:type="dcterms:W3CDTF">2021-09-15T07:40:00Z</dcterms:created>
  <dcterms:modified xsi:type="dcterms:W3CDTF">2021-09-15T07:52:00Z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0x01010040F40D76DA5839428FA6D2BF9E215282</vt:lpwstr>
  </property>
  <property fmtid="{D5CDD505-2E9C-101B-9397-08002B2CF9AE}" pid="3" name="MSIP_Label_13f27b87-3675-4fb5-85ad-fce3efd3a6b0_Enabled">
    <vt:lpwstr>true</vt:lpwstr>
  </property>
  <property fmtid="{D5CDD505-2E9C-101B-9397-08002B2CF9AE}" pid="4" name="MSIP_Label_13f27b87-3675-4fb5-85ad-fce3efd3a6b0_SetDate">
    <vt:lpwstr>2021-05-25T17:10:44Z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ee1ba078-e5ae-40c5-8c53-0000fdaf27ae</vt:lpwstr>
  </property>
  <property fmtid="{D5CDD505-2E9C-101B-9397-08002B2CF9AE}" pid="9" name="MSIP_Label_13f27b87-3675-4fb5-85ad-fce3efd3a6b0_ContentBits">
    <vt:lpwstr>2</vt:lpwstr>
  </property>
</Properties>
</file>