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3FF" w:rsidRPr="00987630" w:rsidRDefault="00B263FF" w:rsidP="00987630">
      <w:pPr>
        <w:pStyle w:val="Header"/>
        <w:pBdr>
          <w:top w:val="single" w:sz="4" w:space="6" w:color="auto"/>
          <w:left w:val="single" w:sz="4" w:space="4" w:color="auto"/>
          <w:bottom w:val="single" w:sz="4" w:space="4" w:color="auto"/>
          <w:right w:val="single" w:sz="4" w:space="31" w:color="auto"/>
        </w:pBdr>
        <w:shd w:val="pct15" w:color="auto" w:fill="FFFFFF"/>
        <w:outlineLvl w:val="0"/>
        <w:rPr>
          <w:b/>
          <w:szCs w:val="26"/>
        </w:rPr>
      </w:pPr>
      <w:r w:rsidRPr="00987630">
        <w:rPr>
          <w:b/>
          <w:szCs w:val="26"/>
        </w:rPr>
        <w:t>NORTH</w:t>
      </w:r>
      <w:r w:rsidR="009E772C" w:rsidRPr="00987630">
        <w:rPr>
          <w:b/>
          <w:szCs w:val="26"/>
        </w:rPr>
        <w:t xml:space="preserve"> &amp; EAST</w:t>
      </w:r>
      <w:r w:rsidRPr="00987630">
        <w:rPr>
          <w:b/>
          <w:szCs w:val="26"/>
        </w:rPr>
        <w:t xml:space="preserve"> YORKSHIRE RURAL HOUSING ENABLER</w:t>
      </w:r>
      <w:r w:rsidR="00EC5796" w:rsidRPr="00987630">
        <w:rPr>
          <w:b/>
          <w:szCs w:val="26"/>
        </w:rPr>
        <w:t xml:space="preserve"> NETWORK</w:t>
      </w:r>
    </w:p>
    <w:p w:rsidR="00B263FF" w:rsidRPr="00987630" w:rsidRDefault="00B263FF" w:rsidP="00987630">
      <w:pPr>
        <w:jc w:val="both"/>
        <w:rPr>
          <w:rFonts w:ascii="Arial" w:hAnsi="Arial" w:cs="Arial"/>
          <w:b/>
          <w:sz w:val="22"/>
        </w:rPr>
      </w:pPr>
    </w:p>
    <w:p w:rsidR="003F613B" w:rsidRPr="00987630" w:rsidRDefault="003F613B" w:rsidP="00987630">
      <w:pPr>
        <w:jc w:val="both"/>
        <w:outlineLvl w:val="0"/>
        <w:rPr>
          <w:rFonts w:ascii="Arial" w:hAnsi="Arial" w:cs="Arial"/>
          <w:b/>
          <w:sz w:val="22"/>
        </w:rPr>
      </w:pPr>
      <w:r w:rsidRPr="00987630">
        <w:rPr>
          <w:rFonts w:ascii="Arial" w:hAnsi="Arial" w:cs="Arial"/>
          <w:b/>
          <w:sz w:val="22"/>
        </w:rPr>
        <w:t xml:space="preserve">AGENDA ITEM NO: </w:t>
      </w:r>
      <w:r w:rsidR="009E772C" w:rsidRPr="00987630">
        <w:rPr>
          <w:rFonts w:ascii="Arial" w:hAnsi="Arial" w:cs="Arial"/>
          <w:b/>
          <w:sz w:val="22"/>
        </w:rPr>
        <w:t>X</w:t>
      </w:r>
    </w:p>
    <w:p w:rsidR="003F613B" w:rsidRPr="00987630" w:rsidRDefault="003F613B" w:rsidP="00987630">
      <w:pPr>
        <w:jc w:val="both"/>
        <w:rPr>
          <w:rFonts w:ascii="Arial" w:hAnsi="Arial" w:cs="Arial"/>
          <w:b/>
          <w:sz w:val="22"/>
        </w:rPr>
      </w:pPr>
    </w:p>
    <w:p w:rsidR="003F613B" w:rsidRPr="00987630" w:rsidRDefault="003F613B" w:rsidP="00987630">
      <w:pPr>
        <w:jc w:val="both"/>
        <w:outlineLvl w:val="0"/>
        <w:rPr>
          <w:rFonts w:ascii="Arial" w:hAnsi="Arial" w:cs="Arial"/>
          <w:sz w:val="22"/>
        </w:rPr>
      </w:pPr>
      <w:r w:rsidRPr="00987630">
        <w:rPr>
          <w:rFonts w:ascii="Arial" w:hAnsi="Arial" w:cs="Arial"/>
          <w:b/>
          <w:sz w:val="22"/>
        </w:rPr>
        <w:t>REPORT TO:</w:t>
      </w:r>
      <w:r w:rsidR="00863FC8" w:rsidRPr="00987630">
        <w:rPr>
          <w:rFonts w:ascii="Arial" w:hAnsi="Arial" w:cs="Arial"/>
          <w:b/>
          <w:sz w:val="22"/>
        </w:rPr>
        <w:tab/>
        <w:t>North</w:t>
      </w:r>
      <w:r w:rsidR="0004455E" w:rsidRPr="00987630">
        <w:rPr>
          <w:rFonts w:ascii="Arial" w:hAnsi="Arial" w:cs="Arial"/>
          <w:b/>
          <w:sz w:val="22"/>
        </w:rPr>
        <w:t xml:space="preserve"> &amp; East</w:t>
      </w:r>
      <w:r w:rsidR="00863FC8" w:rsidRPr="00987630">
        <w:rPr>
          <w:rFonts w:ascii="Arial" w:hAnsi="Arial" w:cs="Arial"/>
          <w:b/>
          <w:sz w:val="22"/>
        </w:rPr>
        <w:t xml:space="preserve"> Yorkshire Rural Housing Enabler Network</w:t>
      </w:r>
    </w:p>
    <w:p w:rsidR="003F613B" w:rsidRPr="00987630" w:rsidRDefault="003F613B" w:rsidP="00987630">
      <w:pPr>
        <w:jc w:val="both"/>
        <w:rPr>
          <w:rFonts w:ascii="Arial" w:hAnsi="Arial" w:cs="Arial"/>
          <w:sz w:val="22"/>
        </w:rPr>
      </w:pPr>
    </w:p>
    <w:p w:rsidR="003F613B" w:rsidRPr="00987630" w:rsidRDefault="003F613B" w:rsidP="00987630">
      <w:pPr>
        <w:jc w:val="both"/>
        <w:rPr>
          <w:rFonts w:ascii="Arial" w:hAnsi="Arial" w:cs="Arial"/>
          <w:sz w:val="22"/>
        </w:rPr>
      </w:pPr>
      <w:r w:rsidRPr="00987630">
        <w:rPr>
          <w:rFonts w:ascii="Arial" w:hAnsi="Arial" w:cs="Arial"/>
          <w:b/>
          <w:sz w:val="22"/>
        </w:rPr>
        <w:t>DATE</w:t>
      </w:r>
      <w:r w:rsidRPr="00987630">
        <w:rPr>
          <w:rFonts w:ascii="Arial" w:hAnsi="Arial" w:cs="Arial"/>
          <w:sz w:val="22"/>
        </w:rPr>
        <w:t>:</w:t>
      </w:r>
      <w:r w:rsidRPr="00987630">
        <w:rPr>
          <w:rFonts w:ascii="Arial" w:hAnsi="Arial" w:cs="Arial"/>
          <w:sz w:val="22"/>
        </w:rPr>
        <w:tab/>
      </w:r>
      <w:r w:rsidRPr="00987630">
        <w:rPr>
          <w:rFonts w:ascii="Arial" w:hAnsi="Arial" w:cs="Arial"/>
          <w:sz w:val="22"/>
        </w:rPr>
        <w:tab/>
      </w:r>
      <w:r w:rsidR="009E772C" w:rsidRPr="00987630">
        <w:rPr>
          <w:rFonts w:ascii="Arial" w:hAnsi="Arial" w:cs="Arial"/>
          <w:sz w:val="22"/>
        </w:rPr>
        <w:t>7</w:t>
      </w:r>
      <w:r w:rsidR="009E772C" w:rsidRPr="00987630">
        <w:rPr>
          <w:rFonts w:ascii="Arial" w:hAnsi="Arial" w:cs="Arial"/>
          <w:sz w:val="22"/>
          <w:vertAlign w:val="superscript"/>
        </w:rPr>
        <w:t>th</w:t>
      </w:r>
      <w:r w:rsidR="009E772C" w:rsidRPr="00987630">
        <w:rPr>
          <w:rFonts w:ascii="Arial" w:hAnsi="Arial" w:cs="Arial"/>
          <w:sz w:val="22"/>
        </w:rPr>
        <w:t xml:space="preserve"> February 2018</w:t>
      </w:r>
    </w:p>
    <w:p w:rsidR="003F613B" w:rsidRPr="00987630" w:rsidRDefault="003F613B" w:rsidP="00987630">
      <w:pPr>
        <w:jc w:val="both"/>
        <w:rPr>
          <w:rFonts w:ascii="Arial" w:hAnsi="Arial" w:cs="Arial"/>
          <w:sz w:val="22"/>
        </w:rPr>
      </w:pPr>
    </w:p>
    <w:p w:rsidR="003F613B" w:rsidRPr="00987630" w:rsidRDefault="003F613B" w:rsidP="00987630">
      <w:pPr>
        <w:jc w:val="both"/>
        <w:rPr>
          <w:rFonts w:ascii="Arial" w:hAnsi="Arial" w:cs="Arial"/>
          <w:sz w:val="22"/>
        </w:rPr>
      </w:pPr>
      <w:r w:rsidRPr="00987630">
        <w:rPr>
          <w:rFonts w:ascii="Arial" w:hAnsi="Arial" w:cs="Arial"/>
          <w:b/>
          <w:sz w:val="22"/>
        </w:rPr>
        <w:t>SUBJECT:</w:t>
      </w:r>
      <w:r w:rsidR="00BF0165" w:rsidRPr="00987630">
        <w:rPr>
          <w:rFonts w:ascii="Arial" w:hAnsi="Arial" w:cs="Arial"/>
          <w:sz w:val="22"/>
        </w:rPr>
        <w:t xml:space="preserve"> </w:t>
      </w:r>
      <w:r w:rsidR="00BF0165" w:rsidRPr="00987630">
        <w:rPr>
          <w:rFonts w:ascii="Arial" w:hAnsi="Arial" w:cs="Arial"/>
          <w:sz w:val="22"/>
        </w:rPr>
        <w:tab/>
      </w:r>
      <w:r w:rsidR="00863FC8" w:rsidRPr="00987630">
        <w:rPr>
          <w:rFonts w:ascii="Arial" w:hAnsi="Arial" w:cs="Arial"/>
          <w:sz w:val="22"/>
        </w:rPr>
        <w:t xml:space="preserve"> </w:t>
      </w:r>
      <w:r w:rsidR="00857B27">
        <w:rPr>
          <w:rFonts w:ascii="Arial" w:hAnsi="Arial" w:cs="Arial"/>
          <w:sz w:val="22"/>
        </w:rPr>
        <w:t xml:space="preserve">Shared Ownership in </w:t>
      </w:r>
      <w:r w:rsidR="009E772C" w:rsidRPr="00987630">
        <w:rPr>
          <w:rFonts w:ascii="Arial" w:hAnsi="Arial" w:cs="Arial"/>
          <w:sz w:val="22"/>
        </w:rPr>
        <w:t>Designated Protected Areas</w:t>
      </w:r>
    </w:p>
    <w:p w:rsidR="003F613B" w:rsidRPr="00987630" w:rsidRDefault="003F613B" w:rsidP="00987630">
      <w:pPr>
        <w:jc w:val="both"/>
        <w:rPr>
          <w:rFonts w:ascii="Arial" w:hAnsi="Arial" w:cs="Arial"/>
          <w:sz w:val="22"/>
        </w:rPr>
      </w:pPr>
    </w:p>
    <w:p w:rsidR="003F613B" w:rsidRPr="00987630" w:rsidRDefault="003F613B" w:rsidP="00987630">
      <w:pPr>
        <w:pBdr>
          <w:bottom w:val="single" w:sz="6" w:space="1" w:color="auto"/>
        </w:pBdr>
        <w:jc w:val="both"/>
        <w:outlineLvl w:val="0"/>
        <w:rPr>
          <w:rFonts w:ascii="Arial" w:hAnsi="Arial" w:cs="Arial"/>
          <w:sz w:val="22"/>
        </w:rPr>
      </w:pPr>
      <w:r w:rsidRPr="00987630">
        <w:rPr>
          <w:rFonts w:ascii="Arial" w:hAnsi="Arial" w:cs="Arial"/>
          <w:b/>
          <w:sz w:val="22"/>
        </w:rPr>
        <w:t>AUTHOR:</w:t>
      </w:r>
      <w:r w:rsidR="00857B27">
        <w:rPr>
          <w:rFonts w:ascii="Arial" w:hAnsi="Arial" w:cs="Arial"/>
          <w:sz w:val="22"/>
        </w:rPr>
        <w:tab/>
      </w:r>
      <w:r w:rsidR="009E772C" w:rsidRPr="00987630">
        <w:rPr>
          <w:rFonts w:ascii="Arial" w:hAnsi="Arial" w:cs="Arial"/>
          <w:sz w:val="22"/>
        </w:rPr>
        <w:t>Sarah Hall</w:t>
      </w:r>
    </w:p>
    <w:p w:rsidR="003F613B" w:rsidRPr="00987630" w:rsidRDefault="003F613B" w:rsidP="00987630">
      <w:pPr>
        <w:pBdr>
          <w:bottom w:val="single" w:sz="6" w:space="1" w:color="auto"/>
        </w:pBdr>
        <w:jc w:val="both"/>
        <w:rPr>
          <w:rFonts w:ascii="Arial" w:hAnsi="Arial" w:cs="Arial"/>
          <w:sz w:val="22"/>
        </w:rPr>
      </w:pPr>
    </w:p>
    <w:p w:rsidR="00F310B9" w:rsidRPr="00987630" w:rsidRDefault="00F310B9" w:rsidP="00987630">
      <w:pPr>
        <w:jc w:val="both"/>
        <w:rPr>
          <w:rFonts w:ascii="Arial" w:hAnsi="Arial" w:cs="Arial"/>
          <w:sz w:val="18"/>
          <w:szCs w:val="20"/>
        </w:rPr>
      </w:pPr>
    </w:p>
    <w:p w:rsidR="00BF0165" w:rsidRPr="00987630" w:rsidRDefault="00BF0165" w:rsidP="00987630">
      <w:pPr>
        <w:numPr>
          <w:ilvl w:val="0"/>
          <w:numId w:val="23"/>
        </w:numPr>
        <w:ind w:hanging="720"/>
        <w:jc w:val="both"/>
        <w:rPr>
          <w:rFonts w:ascii="Arial" w:hAnsi="Arial" w:cs="Arial"/>
          <w:b/>
          <w:sz w:val="22"/>
        </w:rPr>
      </w:pPr>
      <w:r w:rsidRPr="00987630">
        <w:rPr>
          <w:rFonts w:ascii="Arial" w:hAnsi="Arial" w:cs="Arial"/>
          <w:b/>
          <w:sz w:val="22"/>
        </w:rPr>
        <w:t>Purpose</w:t>
      </w:r>
    </w:p>
    <w:p w:rsidR="00EE712B" w:rsidRPr="00987630" w:rsidRDefault="00EE712B" w:rsidP="00987630">
      <w:pPr>
        <w:jc w:val="both"/>
        <w:rPr>
          <w:rFonts w:ascii="Arial" w:hAnsi="Arial" w:cs="Arial"/>
          <w:b/>
          <w:sz w:val="22"/>
        </w:rPr>
      </w:pPr>
    </w:p>
    <w:p w:rsidR="00BA5B62" w:rsidRPr="00987630" w:rsidRDefault="00DF18C3" w:rsidP="00987630">
      <w:pPr>
        <w:numPr>
          <w:ilvl w:val="1"/>
          <w:numId w:val="23"/>
        </w:numPr>
        <w:ind w:left="709" w:hanging="709"/>
        <w:jc w:val="both"/>
        <w:rPr>
          <w:rFonts w:ascii="Arial" w:hAnsi="Arial" w:cs="Arial"/>
          <w:sz w:val="22"/>
        </w:rPr>
      </w:pPr>
      <w:r w:rsidRPr="00987630">
        <w:rPr>
          <w:rFonts w:ascii="Arial" w:hAnsi="Arial" w:cs="Arial"/>
          <w:sz w:val="22"/>
        </w:rPr>
        <w:t xml:space="preserve">To </w:t>
      </w:r>
      <w:r w:rsidR="009E772C" w:rsidRPr="00987630">
        <w:rPr>
          <w:rFonts w:ascii="Arial" w:hAnsi="Arial" w:cs="Arial"/>
          <w:sz w:val="22"/>
        </w:rPr>
        <w:t>aid</w:t>
      </w:r>
      <w:r w:rsidR="00857B27">
        <w:rPr>
          <w:rFonts w:ascii="Arial" w:hAnsi="Arial" w:cs="Arial"/>
          <w:sz w:val="22"/>
        </w:rPr>
        <w:t xml:space="preserve"> a Network</w:t>
      </w:r>
      <w:r w:rsidR="009E772C" w:rsidRPr="00987630">
        <w:rPr>
          <w:rFonts w:ascii="Arial" w:hAnsi="Arial" w:cs="Arial"/>
          <w:sz w:val="22"/>
        </w:rPr>
        <w:t xml:space="preserve"> discussion around the issue</w:t>
      </w:r>
      <w:r w:rsidR="00987630" w:rsidRPr="00987630">
        <w:rPr>
          <w:rFonts w:ascii="Arial" w:hAnsi="Arial" w:cs="Arial"/>
          <w:sz w:val="22"/>
        </w:rPr>
        <w:t>s</w:t>
      </w:r>
      <w:r w:rsidR="009E772C" w:rsidRPr="00987630">
        <w:rPr>
          <w:rFonts w:ascii="Arial" w:hAnsi="Arial" w:cs="Arial"/>
          <w:sz w:val="22"/>
        </w:rPr>
        <w:t xml:space="preserve"> presented when providing shared ownership homes</w:t>
      </w:r>
      <w:r w:rsidR="006553AD">
        <w:rPr>
          <w:rFonts w:ascii="Arial" w:hAnsi="Arial" w:cs="Arial"/>
          <w:sz w:val="22"/>
        </w:rPr>
        <w:t xml:space="preserve"> in</w:t>
      </w:r>
      <w:r w:rsidR="009E772C" w:rsidRPr="00987630">
        <w:rPr>
          <w:rFonts w:ascii="Arial" w:hAnsi="Arial" w:cs="Arial"/>
          <w:sz w:val="22"/>
        </w:rPr>
        <w:t xml:space="preserve"> Designated Protected Areas</w:t>
      </w:r>
      <w:r w:rsidR="00987630" w:rsidRPr="00987630">
        <w:rPr>
          <w:rFonts w:ascii="Arial" w:hAnsi="Arial" w:cs="Arial"/>
          <w:sz w:val="22"/>
        </w:rPr>
        <w:t xml:space="preserve"> (DPAs)</w:t>
      </w:r>
      <w:r w:rsidR="009E772C" w:rsidRPr="00987630">
        <w:rPr>
          <w:rFonts w:ascii="Arial" w:hAnsi="Arial" w:cs="Arial"/>
          <w:sz w:val="22"/>
        </w:rPr>
        <w:t xml:space="preserve"> and agree recommendations to Local Authorities via the</w:t>
      </w:r>
      <w:r w:rsidR="00987630">
        <w:rPr>
          <w:rFonts w:ascii="Arial" w:hAnsi="Arial" w:cs="Arial"/>
          <w:sz w:val="22"/>
        </w:rPr>
        <w:t xml:space="preserve"> YNYER</w:t>
      </w:r>
      <w:r w:rsidR="009E772C" w:rsidRPr="00987630">
        <w:rPr>
          <w:rFonts w:ascii="Arial" w:hAnsi="Arial" w:cs="Arial"/>
          <w:sz w:val="22"/>
        </w:rPr>
        <w:t xml:space="preserve"> Housing Board</w:t>
      </w:r>
      <w:r w:rsidR="003E5E9A" w:rsidRPr="00987630">
        <w:rPr>
          <w:rFonts w:ascii="Arial" w:hAnsi="Arial" w:cs="Arial"/>
          <w:sz w:val="22"/>
        </w:rPr>
        <w:t>.</w:t>
      </w:r>
    </w:p>
    <w:p w:rsidR="00BD4F8C" w:rsidRPr="00987630" w:rsidRDefault="00BD4F8C" w:rsidP="00987630">
      <w:pPr>
        <w:jc w:val="both"/>
        <w:rPr>
          <w:rFonts w:ascii="Arial" w:hAnsi="Arial" w:cs="Arial"/>
          <w:sz w:val="22"/>
        </w:rPr>
      </w:pPr>
    </w:p>
    <w:p w:rsidR="00BF0165" w:rsidRPr="00987630" w:rsidRDefault="009E772C" w:rsidP="00987630">
      <w:pPr>
        <w:numPr>
          <w:ilvl w:val="0"/>
          <w:numId w:val="23"/>
        </w:numPr>
        <w:ind w:hanging="720"/>
        <w:jc w:val="both"/>
        <w:rPr>
          <w:rFonts w:ascii="Arial" w:hAnsi="Arial" w:cs="Arial"/>
          <w:b/>
          <w:sz w:val="22"/>
        </w:rPr>
      </w:pPr>
      <w:r w:rsidRPr="00987630">
        <w:rPr>
          <w:rFonts w:ascii="Arial" w:hAnsi="Arial" w:cs="Arial"/>
          <w:b/>
          <w:sz w:val="22"/>
        </w:rPr>
        <w:t>Background</w:t>
      </w:r>
    </w:p>
    <w:p w:rsidR="009E772C" w:rsidRPr="00987630" w:rsidRDefault="009E772C" w:rsidP="00987630">
      <w:pPr>
        <w:ind w:left="720" w:hanging="720"/>
        <w:jc w:val="both"/>
        <w:rPr>
          <w:rFonts w:ascii="Arial" w:hAnsi="Arial" w:cs="Arial"/>
          <w:sz w:val="22"/>
        </w:rPr>
      </w:pPr>
    </w:p>
    <w:p w:rsidR="009E772C" w:rsidRPr="00987630" w:rsidRDefault="009E772C" w:rsidP="00987630">
      <w:pPr>
        <w:numPr>
          <w:ilvl w:val="1"/>
          <w:numId w:val="23"/>
        </w:numPr>
        <w:ind w:left="709" w:hanging="709"/>
        <w:jc w:val="both"/>
        <w:rPr>
          <w:rFonts w:ascii="Arial" w:hAnsi="Arial" w:cs="Arial"/>
          <w:sz w:val="22"/>
        </w:rPr>
      </w:pPr>
      <w:r w:rsidRPr="00987630">
        <w:rPr>
          <w:rFonts w:ascii="Arial" w:hAnsi="Arial" w:cs="Arial"/>
          <w:sz w:val="22"/>
        </w:rPr>
        <w:t>Schedule 4A of The Leasehold Reform Act 1967 as amended by section 302 of the Housing and Regeneration Act 2008 gives power to the Secretary of State to designate any area in England as a “protected area” if the Secretary of State considers it appropriate to do so. The effect of</w:t>
      </w:r>
      <w:r w:rsidR="00987630">
        <w:rPr>
          <w:rFonts w:ascii="Arial" w:hAnsi="Arial" w:cs="Arial"/>
          <w:sz w:val="22"/>
        </w:rPr>
        <w:t xml:space="preserve"> this</w:t>
      </w:r>
      <w:r w:rsidRPr="00987630">
        <w:rPr>
          <w:rFonts w:ascii="Arial" w:hAnsi="Arial" w:cs="Arial"/>
          <w:sz w:val="22"/>
        </w:rPr>
        <w:t xml:space="preserve"> designat</w:t>
      </w:r>
      <w:r w:rsidR="00987630">
        <w:rPr>
          <w:rFonts w:ascii="Arial" w:hAnsi="Arial" w:cs="Arial"/>
          <w:sz w:val="22"/>
        </w:rPr>
        <w:t>ion</w:t>
      </w:r>
      <w:r w:rsidRPr="00987630">
        <w:rPr>
          <w:rFonts w:ascii="Arial" w:hAnsi="Arial" w:cs="Arial"/>
          <w:sz w:val="22"/>
        </w:rPr>
        <w:t xml:space="preserve"> is to prevent a tenant in that area from exercising </w:t>
      </w:r>
      <w:r w:rsidR="00987630">
        <w:rPr>
          <w:rFonts w:ascii="Arial" w:hAnsi="Arial" w:cs="Arial"/>
          <w:sz w:val="22"/>
        </w:rPr>
        <w:t>the</w:t>
      </w:r>
      <w:r w:rsidRPr="00987630">
        <w:rPr>
          <w:rFonts w:ascii="Arial" w:hAnsi="Arial" w:cs="Arial"/>
          <w:sz w:val="22"/>
        </w:rPr>
        <w:t xml:space="preserve"> right to enfranchisement (acquiring the freehold), if certain statutory conditions are met in respect of the lease. These regulations came into effect on 7 September 2009 and aim to ensure that shared ownership ho</w:t>
      </w:r>
      <w:r w:rsidR="00987630">
        <w:rPr>
          <w:rFonts w:ascii="Arial" w:hAnsi="Arial" w:cs="Arial"/>
          <w:sz w:val="22"/>
        </w:rPr>
        <w:t>mes</w:t>
      </w:r>
      <w:r w:rsidRPr="00987630">
        <w:rPr>
          <w:rFonts w:ascii="Arial" w:hAnsi="Arial" w:cs="Arial"/>
          <w:sz w:val="22"/>
        </w:rPr>
        <w:t xml:space="preserve"> are retained as such in areas where they would be difficult to replace. </w:t>
      </w:r>
    </w:p>
    <w:p w:rsidR="009E772C" w:rsidRPr="00987630" w:rsidRDefault="009E772C" w:rsidP="00987630">
      <w:pPr>
        <w:ind w:left="720" w:hanging="720"/>
        <w:jc w:val="both"/>
        <w:rPr>
          <w:rFonts w:ascii="Arial" w:hAnsi="Arial" w:cs="Arial"/>
          <w:sz w:val="22"/>
        </w:rPr>
      </w:pPr>
    </w:p>
    <w:p w:rsidR="009E772C" w:rsidRDefault="009E772C" w:rsidP="00987630">
      <w:pPr>
        <w:numPr>
          <w:ilvl w:val="1"/>
          <w:numId w:val="23"/>
        </w:numPr>
        <w:ind w:left="709" w:hanging="709"/>
        <w:jc w:val="both"/>
        <w:rPr>
          <w:rFonts w:ascii="Arial" w:hAnsi="Arial" w:cs="Arial"/>
          <w:sz w:val="22"/>
        </w:rPr>
      </w:pPr>
      <w:r w:rsidRPr="00987630">
        <w:rPr>
          <w:rFonts w:ascii="Arial" w:hAnsi="Arial" w:cs="Arial"/>
          <w:sz w:val="22"/>
        </w:rPr>
        <w:t>The second Order, The Housing (Shared Ownership Leases) (Exclusion from Leasehold Reform Act 1967) (England) Regulations 2009 (Statutory Instrument 2009/2097) requires landlords to include in their shared ownership lease, for houses within a ‘Protected Area’ provisions to either:</w:t>
      </w:r>
    </w:p>
    <w:p w:rsidR="00987630" w:rsidRDefault="00987630" w:rsidP="00987630">
      <w:pPr>
        <w:pStyle w:val="ListParagraph"/>
        <w:rPr>
          <w:rFonts w:ascii="Arial" w:hAnsi="Arial" w:cs="Arial"/>
          <w:sz w:val="22"/>
        </w:rPr>
      </w:pPr>
    </w:p>
    <w:p w:rsidR="009E772C" w:rsidRPr="00987630" w:rsidRDefault="009E772C" w:rsidP="00987630">
      <w:pPr>
        <w:numPr>
          <w:ilvl w:val="0"/>
          <w:numId w:val="21"/>
        </w:numPr>
        <w:jc w:val="both"/>
        <w:rPr>
          <w:rFonts w:ascii="Arial" w:hAnsi="Arial" w:cs="Arial"/>
          <w:sz w:val="22"/>
        </w:rPr>
      </w:pPr>
      <w:r w:rsidRPr="00987630">
        <w:rPr>
          <w:rFonts w:ascii="Arial" w:hAnsi="Arial" w:cs="Arial"/>
          <w:sz w:val="22"/>
        </w:rPr>
        <w:t xml:space="preserve">restrict the leaseholder’s equity share to a </w:t>
      </w:r>
      <w:r w:rsidRPr="00987630">
        <w:rPr>
          <w:rFonts w:ascii="Arial" w:hAnsi="Arial" w:cs="Arial"/>
          <w:sz w:val="22"/>
          <w:u w:val="single"/>
        </w:rPr>
        <w:t>maximum of 80%;</w:t>
      </w:r>
      <w:r w:rsidRPr="00987630">
        <w:rPr>
          <w:rFonts w:ascii="Arial" w:hAnsi="Arial" w:cs="Arial"/>
          <w:sz w:val="22"/>
        </w:rPr>
        <w:t xml:space="preserve"> </w:t>
      </w:r>
      <w:r w:rsidRPr="00987630">
        <w:rPr>
          <w:rFonts w:ascii="Arial" w:hAnsi="Arial" w:cs="Arial"/>
          <w:b/>
          <w:sz w:val="22"/>
        </w:rPr>
        <w:t xml:space="preserve">or </w:t>
      </w:r>
    </w:p>
    <w:p w:rsidR="009E772C" w:rsidRPr="00987630" w:rsidRDefault="009E772C" w:rsidP="00987630">
      <w:pPr>
        <w:numPr>
          <w:ilvl w:val="0"/>
          <w:numId w:val="21"/>
        </w:numPr>
        <w:jc w:val="both"/>
        <w:rPr>
          <w:rFonts w:ascii="Arial" w:hAnsi="Arial" w:cs="Arial"/>
          <w:sz w:val="22"/>
        </w:rPr>
      </w:pPr>
      <w:proofErr w:type="gramStart"/>
      <w:r w:rsidRPr="00987630">
        <w:rPr>
          <w:rFonts w:ascii="Arial" w:hAnsi="Arial" w:cs="Arial"/>
          <w:sz w:val="22"/>
        </w:rPr>
        <w:t>ensure</w:t>
      </w:r>
      <w:proofErr w:type="gramEnd"/>
      <w:r w:rsidRPr="00987630">
        <w:rPr>
          <w:rFonts w:ascii="Arial" w:hAnsi="Arial" w:cs="Arial"/>
          <w:sz w:val="22"/>
        </w:rPr>
        <w:t xml:space="preserve"> that once the leaseholder has acquired 100% share of the house, </w:t>
      </w:r>
      <w:r w:rsidRPr="00987630">
        <w:rPr>
          <w:rFonts w:ascii="Arial" w:hAnsi="Arial" w:cs="Arial"/>
          <w:sz w:val="22"/>
          <w:u w:val="single"/>
        </w:rPr>
        <w:t>it is sold back to the landlord</w:t>
      </w:r>
      <w:r w:rsidRPr="00987630">
        <w:rPr>
          <w:rFonts w:ascii="Arial" w:hAnsi="Arial" w:cs="Arial"/>
          <w:sz w:val="22"/>
        </w:rPr>
        <w:t xml:space="preserve"> when it becomes available for resale.  </w:t>
      </w:r>
    </w:p>
    <w:p w:rsidR="009E772C" w:rsidRPr="00987630" w:rsidRDefault="009E772C" w:rsidP="00987630">
      <w:pPr>
        <w:ind w:left="720" w:hanging="720"/>
        <w:jc w:val="both"/>
        <w:rPr>
          <w:rFonts w:ascii="Arial" w:hAnsi="Arial" w:cs="Arial"/>
          <w:sz w:val="22"/>
        </w:rPr>
      </w:pPr>
    </w:p>
    <w:p w:rsidR="009E772C" w:rsidRPr="00857B27" w:rsidRDefault="009E772C" w:rsidP="00987630">
      <w:pPr>
        <w:numPr>
          <w:ilvl w:val="1"/>
          <w:numId w:val="23"/>
        </w:numPr>
        <w:ind w:left="709" w:hanging="709"/>
        <w:jc w:val="both"/>
        <w:rPr>
          <w:rFonts w:ascii="Arial" w:hAnsi="Arial" w:cs="Arial"/>
          <w:sz w:val="22"/>
        </w:rPr>
      </w:pPr>
      <w:r w:rsidRPr="00987630">
        <w:rPr>
          <w:rFonts w:ascii="Arial" w:hAnsi="Arial" w:cs="Arial"/>
          <w:sz w:val="22"/>
        </w:rPr>
        <w:t>The Regulations aim to provide greater certainty for strategic housin</w:t>
      </w:r>
      <w:r w:rsidR="00987630">
        <w:rPr>
          <w:rFonts w:ascii="Arial" w:hAnsi="Arial" w:cs="Arial"/>
          <w:sz w:val="22"/>
        </w:rPr>
        <w:t>g authorities that proposals</w:t>
      </w:r>
      <w:r w:rsidR="006553AD">
        <w:rPr>
          <w:rFonts w:ascii="Arial" w:hAnsi="Arial" w:cs="Arial"/>
          <w:sz w:val="22"/>
        </w:rPr>
        <w:t xml:space="preserve"> for</w:t>
      </w:r>
      <w:r w:rsidRPr="00987630">
        <w:rPr>
          <w:rFonts w:ascii="Arial" w:hAnsi="Arial" w:cs="Arial"/>
          <w:sz w:val="22"/>
        </w:rPr>
        <w:t xml:space="preserve"> shared ownership in areas with identified need and where opportunities to build are scarce can be brought forward without the risk of those homes being lost to the open market. As the buyer is unable to purchase 100% of the property it can never be sold on the open market and future buyers will be subject to eligibility checks. Thus the property remains affordable in perpetuity.</w:t>
      </w:r>
      <w:r w:rsidR="004A0661" w:rsidRPr="004A0661">
        <w:t xml:space="preserve"> </w:t>
      </w:r>
      <w:r w:rsidR="004A0661" w:rsidRPr="004A0661">
        <w:rPr>
          <w:rFonts w:ascii="Arial" w:hAnsi="Arial" w:cs="Arial"/>
          <w:sz w:val="22"/>
        </w:rPr>
        <w:t xml:space="preserve">The legislation aims to ensure that </w:t>
      </w:r>
      <w:r w:rsidR="004A0661" w:rsidRPr="00857B27">
        <w:rPr>
          <w:rFonts w:ascii="Arial" w:hAnsi="Arial" w:cs="Arial"/>
          <w:sz w:val="22"/>
          <w:u w:val="single"/>
        </w:rPr>
        <w:t>grant funded shared ownership property</w:t>
      </w:r>
      <w:r w:rsidR="004A0661" w:rsidRPr="004A0661">
        <w:rPr>
          <w:rFonts w:ascii="Arial" w:hAnsi="Arial" w:cs="Arial"/>
          <w:sz w:val="22"/>
        </w:rPr>
        <w:t xml:space="preserve"> in difficult to replace areas can be retained for the benefit of local people.</w:t>
      </w:r>
    </w:p>
    <w:p w:rsidR="00857B27" w:rsidRPr="00857B27" w:rsidRDefault="00857B27" w:rsidP="00857B27">
      <w:pPr>
        <w:ind w:left="709"/>
        <w:jc w:val="both"/>
        <w:rPr>
          <w:rFonts w:ascii="Arial" w:hAnsi="Arial" w:cs="Arial"/>
          <w:sz w:val="22"/>
        </w:rPr>
      </w:pPr>
    </w:p>
    <w:p w:rsidR="00857B27" w:rsidRPr="00857B27" w:rsidRDefault="00857B27" w:rsidP="00857B27">
      <w:pPr>
        <w:numPr>
          <w:ilvl w:val="1"/>
          <w:numId w:val="23"/>
        </w:numPr>
        <w:ind w:left="709" w:hanging="709"/>
        <w:jc w:val="both"/>
        <w:rPr>
          <w:rFonts w:ascii="Arial" w:hAnsi="Arial" w:cs="Arial"/>
          <w:sz w:val="22"/>
        </w:rPr>
      </w:pPr>
      <w:r w:rsidRPr="00857B27">
        <w:rPr>
          <w:rFonts w:ascii="Arial" w:hAnsi="Arial" w:cs="Arial"/>
          <w:sz w:val="22"/>
        </w:rPr>
        <w:t xml:space="preserve">A key aspect of the Designated Protected Areas regulations is that shared ownership leases issued in respect of property in Designated Protected Areas </w:t>
      </w:r>
      <w:r w:rsidRPr="00857B27">
        <w:rPr>
          <w:rFonts w:ascii="Arial" w:hAnsi="Arial" w:cs="Arial"/>
          <w:sz w:val="22"/>
        </w:rPr>
        <w:lastRenderedPageBreak/>
        <w:t>must contain certain clauses to retain the property as shared o</w:t>
      </w:r>
      <w:r>
        <w:rPr>
          <w:rFonts w:ascii="Arial" w:hAnsi="Arial" w:cs="Arial"/>
          <w:sz w:val="22"/>
        </w:rPr>
        <w:t>wnership for future purchasers.</w:t>
      </w:r>
    </w:p>
    <w:p w:rsidR="00857B27" w:rsidRDefault="00857B27" w:rsidP="00857B27">
      <w:pPr>
        <w:pStyle w:val="ListParagraph"/>
        <w:rPr>
          <w:rFonts w:ascii="Arial" w:hAnsi="Arial" w:cs="Arial"/>
          <w:sz w:val="22"/>
        </w:rPr>
      </w:pPr>
    </w:p>
    <w:p w:rsidR="00857B27" w:rsidRPr="00857B27" w:rsidRDefault="00857B27" w:rsidP="00857B27">
      <w:pPr>
        <w:numPr>
          <w:ilvl w:val="1"/>
          <w:numId w:val="23"/>
        </w:numPr>
        <w:ind w:left="709" w:hanging="709"/>
        <w:jc w:val="both"/>
        <w:rPr>
          <w:rFonts w:ascii="Arial" w:hAnsi="Arial" w:cs="Arial"/>
          <w:sz w:val="22"/>
        </w:rPr>
      </w:pPr>
      <w:r w:rsidRPr="00857B27">
        <w:rPr>
          <w:rFonts w:ascii="Arial" w:hAnsi="Arial" w:cs="Arial"/>
          <w:sz w:val="22"/>
        </w:rPr>
        <w:t>The repurchase arrangements allow providers to buy a property back from an existing leaseholder to enable a resale to a local household in housing need. The aim of the arrangements is to retain low cost housing for rural communities</w:t>
      </w:r>
      <w:r>
        <w:rPr>
          <w:rFonts w:ascii="Arial" w:hAnsi="Arial" w:cs="Arial"/>
          <w:sz w:val="22"/>
        </w:rPr>
        <w:t xml:space="preserve">. </w:t>
      </w:r>
      <w:r w:rsidRPr="00857B27">
        <w:rPr>
          <w:rFonts w:ascii="Arial" w:hAnsi="Arial" w:cs="Arial"/>
          <w:sz w:val="22"/>
        </w:rPr>
        <w:t xml:space="preserve">Where providers have </w:t>
      </w:r>
      <w:r>
        <w:rPr>
          <w:rFonts w:ascii="Arial" w:hAnsi="Arial" w:cs="Arial"/>
          <w:sz w:val="22"/>
        </w:rPr>
        <w:t>“</w:t>
      </w:r>
      <w:r w:rsidRPr="00857B27">
        <w:rPr>
          <w:rFonts w:ascii="Arial" w:hAnsi="Arial" w:cs="Arial"/>
          <w:sz w:val="22"/>
        </w:rPr>
        <w:t>robustly explored</w:t>
      </w:r>
      <w:r>
        <w:rPr>
          <w:rFonts w:ascii="Arial" w:hAnsi="Arial" w:cs="Arial"/>
          <w:sz w:val="22"/>
        </w:rPr>
        <w:t>”</w:t>
      </w:r>
      <w:r w:rsidRPr="00857B27">
        <w:rPr>
          <w:rFonts w:ascii="Arial" w:hAnsi="Arial" w:cs="Arial"/>
          <w:sz w:val="22"/>
        </w:rPr>
        <w:t xml:space="preserve"> and exhausted all other funding options, including the use of recycled grant and or a transfer of recycled grant, </w:t>
      </w:r>
      <w:r w:rsidR="006553AD">
        <w:rPr>
          <w:rFonts w:ascii="Arial" w:hAnsi="Arial" w:cs="Arial"/>
          <w:sz w:val="22"/>
        </w:rPr>
        <w:t>Homes England</w:t>
      </w:r>
      <w:r w:rsidRPr="00857B27">
        <w:rPr>
          <w:rFonts w:ascii="Arial" w:hAnsi="Arial" w:cs="Arial"/>
          <w:sz w:val="22"/>
        </w:rPr>
        <w:t xml:space="preserve"> will positively consider applications to fund the repurchase of grant funded property within a Designated Protected Area, where funding is available.</w:t>
      </w:r>
    </w:p>
    <w:p w:rsidR="00857B27" w:rsidRDefault="00857B27" w:rsidP="00857B27">
      <w:pPr>
        <w:pStyle w:val="ListParagraph"/>
        <w:rPr>
          <w:rFonts w:ascii="Arial" w:hAnsi="Arial" w:cs="Arial"/>
          <w:sz w:val="22"/>
        </w:rPr>
      </w:pPr>
    </w:p>
    <w:p w:rsidR="00A43F56" w:rsidRDefault="00A43F56" w:rsidP="00A43F56">
      <w:pPr>
        <w:numPr>
          <w:ilvl w:val="0"/>
          <w:numId w:val="23"/>
        </w:numPr>
        <w:jc w:val="both"/>
        <w:rPr>
          <w:rFonts w:ascii="Arial" w:hAnsi="Arial" w:cs="Arial"/>
          <w:b/>
          <w:sz w:val="22"/>
        </w:rPr>
      </w:pPr>
      <w:r w:rsidRPr="00A43F56">
        <w:rPr>
          <w:rFonts w:ascii="Arial" w:hAnsi="Arial" w:cs="Arial"/>
          <w:b/>
          <w:sz w:val="22"/>
        </w:rPr>
        <w:t>Current Situation</w:t>
      </w:r>
    </w:p>
    <w:p w:rsidR="00A43F56" w:rsidRPr="00A43F56" w:rsidRDefault="00A43F56" w:rsidP="00A43F56">
      <w:pPr>
        <w:ind w:left="360"/>
        <w:jc w:val="both"/>
        <w:rPr>
          <w:rFonts w:ascii="Arial" w:hAnsi="Arial" w:cs="Arial"/>
          <w:b/>
          <w:sz w:val="22"/>
        </w:rPr>
      </w:pPr>
    </w:p>
    <w:p w:rsidR="00A43F56" w:rsidRDefault="00A43F56" w:rsidP="00A43F56">
      <w:pPr>
        <w:numPr>
          <w:ilvl w:val="1"/>
          <w:numId w:val="23"/>
        </w:numPr>
        <w:ind w:left="709" w:hanging="709"/>
        <w:jc w:val="both"/>
        <w:rPr>
          <w:rFonts w:ascii="Arial" w:hAnsi="Arial" w:cs="Arial"/>
          <w:sz w:val="22"/>
        </w:rPr>
      </w:pPr>
      <w:r>
        <w:rPr>
          <w:rFonts w:ascii="Arial" w:hAnsi="Arial" w:cs="Arial"/>
          <w:sz w:val="22"/>
        </w:rPr>
        <w:t xml:space="preserve">The restriction on shared ownership sales in DPAs appears to be presenting challenges to </w:t>
      </w:r>
      <w:r w:rsidR="00857B27">
        <w:rPr>
          <w:rFonts w:ascii="Arial" w:hAnsi="Arial" w:cs="Arial"/>
          <w:sz w:val="22"/>
        </w:rPr>
        <w:t>RPs</w:t>
      </w:r>
      <w:r>
        <w:rPr>
          <w:rFonts w:ascii="Arial" w:hAnsi="Arial" w:cs="Arial"/>
          <w:sz w:val="22"/>
        </w:rPr>
        <w:t xml:space="preserve"> in rural North and East Yorkshire and the number of requests for Local Authorities to waive the</w:t>
      </w:r>
      <w:r w:rsidR="00857B27">
        <w:rPr>
          <w:rFonts w:ascii="Arial" w:hAnsi="Arial" w:cs="Arial"/>
          <w:sz w:val="22"/>
        </w:rPr>
        <w:t xml:space="preserve"> DPA</w:t>
      </w:r>
      <w:r>
        <w:rPr>
          <w:rFonts w:ascii="Arial" w:hAnsi="Arial" w:cs="Arial"/>
          <w:sz w:val="22"/>
        </w:rPr>
        <w:t xml:space="preserve"> restrictions is increasing for a number of reasons, not least that the development of shared ownership properties is increasing due to the government focus on supporting home ownership, particularly through</w:t>
      </w:r>
      <w:r w:rsidR="00857B27">
        <w:rPr>
          <w:rFonts w:ascii="Arial" w:hAnsi="Arial" w:cs="Arial"/>
          <w:sz w:val="22"/>
        </w:rPr>
        <w:t xml:space="preserve"> the</w:t>
      </w:r>
      <w:r>
        <w:rPr>
          <w:rFonts w:ascii="Arial" w:hAnsi="Arial" w:cs="Arial"/>
          <w:sz w:val="22"/>
        </w:rPr>
        <w:t xml:space="preserve"> Homes England Shared Ownership and Affordable Homes Programme. The responses by the Local Authorities in the partnership area to requests for a waiver</w:t>
      </w:r>
      <w:r w:rsidR="00857B27">
        <w:rPr>
          <w:rFonts w:ascii="Arial" w:hAnsi="Arial" w:cs="Arial"/>
          <w:sz w:val="22"/>
        </w:rPr>
        <w:t xml:space="preserve"> have been</w:t>
      </w:r>
      <w:r w:rsidR="00235110">
        <w:rPr>
          <w:rFonts w:ascii="Arial" w:hAnsi="Arial" w:cs="Arial"/>
          <w:sz w:val="22"/>
        </w:rPr>
        <w:t xml:space="preserve"> mixed.</w:t>
      </w:r>
      <w:r w:rsidR="00DE7936">
        <w:rPr>
          <w:rFonts w:ascii="Arial" w:hAnsi="Arial" w:cs="Arial"/>
          <w:sz w:val="22"/>
        </w:rPr>
        <w:t xml:space="preserve"> A further challenge is that the Designations are not consistent i.e. some rural areas are within DPAs and others, often smaller settlements than those protected, are not.</w:t>
      </w:r>
    </w:p>
    <w:p w:rsidR="00A43F56" w:rsidRDefault="00A43F56" w:rsidP="00A43F56">
      <w:pPr>
        <w:ind w:left="709"/>
        <w:jc w:val="both"/>
        <w:rPr>
          <w:rFonts w:ascii="Arial" w:hAnsi="Arial" w:cs="Arial"/>
          <w:sz w:val="22"/>
        </w:rPr>
      </w:pPr>
    </w:p>
    <w:p w:rsidR="00A43F56" w:rsidRDefault="00A43F56" w:rsidP="00A43F56">
      <w:pPr>
        <w:numPr>
          <w:ilvl w:val="1"/>
          <w:numId w:val="23"/>
        </w:numPr>
        <w:ind w:left="709" w:hanging="709"/>
        <w:jc w:val="both"/>
        <w:rPr>
          <w:rFonts w:ascii="Arial" w:hAnsi="Arial" w:cs="Arial"/>
          <w:sz w:val="22"/>
        </w:rPr>
      </w:pPr>
      <w:r>
        <w:rPr>
          <w:rFonts w:ascii="Arial" w:hAnsi="Arial" w:cs="Arial"/>
          <w:sz w:val="22"/>
        </w:rPr>
        <w:t xml:space="preserve">The main issues presented in developing shared ownership in a DPA is that the number of lenders willing to lend on a shared ownership property decreases significantly where there is a restriction in </w:t>
      </w:r>
      <w:proofErr w:type="spellStart"/>
      <w:r>
        <w:rPr>
          <w:rFonts w:ascii="Arial" w:hAnsi="Arial" w:cs="Arial"/>
          <w:sz w:val="22"/>
        </w:rPr>
        <w:t>staircasing</w:t>
      </w:r>
      <w:proofErr w:type="spellEnd"/>
      <w:r>
        <w:rPr>
          <w:rFonts w:ascii="Arial" w:hAnsi="Arial" w:cs="Arial"/>
          <w:sz w:val="22"/>
        </w:rPr>
        <w:t xml:space="preserve"> due to the DPA status.</w:t>
      </w:r>
    </w:p>
    <w:p w:rsidR="00A43F56" w:rsidRPr="00987630" w:rsidRDefault="00A43F56" w:rsidP="00A43F56">
      <w:pPr>
        <w:ind w:left="709"/>
        <w:jc w:val="both"/>
        <w:rPr>
          <w:rFonts w:ascii="Arial" w:hAnsi="Arial" w:cs="Arial"/>
          <w:sz w:val="22"/>
        </w:rPr>
      </w:pPr>
    </w:p>
    <w:p w:rsidR="00A43F56" w:rsidRPr="00987630" w:rsidRDefault="00A43F56" w:rsidP="00A43F56">
      <w:pPr>
        <w:numPr>
          <w:ilvl w:val="1"/>
          <w:numId w:val="23"/>
        </w:numPr>
        <w:ind w:left="709" w:hanging="709"/>
        <w:jc w:val="both"/>
        <w:rPr>
          <w:rFonts w:ascii="Arial" w:hAnsi="Arial" w:cs="Arial"/>
          <w:sz w:val="22"/>
        </w:rPr>
      </w:pPr>
      <w:r w:rsidRPr="00987630">
        <w:rPr>
          <w:rFonts w:ascii="Arial" w:hAnsi="Arial" w:cs="Arial"/>
          <w:sz w:val="22"/>
          <w:highlight w:val="yellow"/>
        </w:rPr>
        <w:t>Currently there are 17 lenders operating in the shared ownership sector. Where a lease includes a cap on stair-casing, this number reduces to two</w:t>
      </w:r>
      <w:r w:rsidRPr="00987630">
        <w:rPr>
          <w:rFonts w:ascii="Arial" w:hAnsi="Arial" w:cs="Arial"/>
          <w:sz w:val="22"/>
        </w:rPr>
        <w:t xml:space="preserve">. The result of this is that: </w:t>
      </w:r>
    </w:p>
    <w:p w:rsidR="00A43F56" w:rsidRPr="00987630" w:rsidRDefault="00A43F56" w:rsidP="00A43F56">
      <w:pPr>
        <w:jc w:val="both"/>
        <w:rPr>
          <w:rFonts w:ascii="Arial" w:hAnsi="Arial" w:cs="Arial"/>
          <w:sz w:val="22"/>
        </w:rPr>
      </w:pPr>
    </w:p>
    <w:p w:rsidR="00A43F56" w:rsidRPr="00987630" w:rsidRDefault="00A43F56" w:rsidP="00A43F56">
      <w:pPr>
        <w:numPr>
          <w:ilvl w:val="0"/>
          <w:numId w:val="22"/>
        </w:numPr>
        <w:jc w:val="both"/>
        <w:rPr>
          <w:rFonts w:ascii="Arial" w:hAnsi="Arial" w:cs="Arial"/>
          <w:sz w:val="22"/>
        </w:rPr>
      </w:pPr>
      <w:r w:rsidRPr="00987630">
        <w:rPr>
          <w:rFonts w:ascii="Arial" w:hAnsi="Arial" w:cs="Arial"/>
          <w:sz w:val="22"/>
        </w:rPr>
        <w:t>buyers have less choice of mortga</w:t>
      </w:r>
      <w:r>
        <w:rPr>
          <w:rFonts w:ascii="Arial" w:hAnsi="Arial" w:cs="Arial"/>
          <w:sz w:val="22"/>
        </w:rPr>
        <w:t>ge product and may need a larger</w:t>
      </w:r>
      <w:r w:rsidRPr="00987630">
        <w:rPr>
          <w:rFonts w:ascii="Arial" w:hAnsi="Arial" w:cs="Arial"/>
          <w:sz w:val="22"/>
        </w:rPr>
        <w:t xml:space="preserve"> deposit; </w:t>
      </w:r>
    </w:p>
    <w:p w:rsidR="00A43F56" w:rsidRPr="00987630" w:rsidRDefault="00A43F56" w:rsidP="00A43F56">
      <w:pPr>
        <w:numPr>
          <w:ilvl w:val="0"/>
          <w:numId w:val="22"/>
        </w:numPr>
        <w:jc w:val="both"/>
        <w:rPr>
          <w:rFonts w:ascii="Arial" w:hAnsi="Arial" w:cs="Arial"/>
          <w:sz w:val="22"/>
        </w:rPr>
      </w:pPr>
      <w:r>
        <w:rPr>
          <w:rFonts w:ascii="Arial" w:hAnsi="Arial" w:cs="Arial"/>
          <w:sz w:val="22"/>
        </w:rPr>
        <w:t>future potential purchasers</w:t>
      </w:r>
      <w:r w:rsidRPr="00987630">
        <w:rPr>
          <w:rFonts w:ascii="Arial" w:hAnsi="Arial" w:cs="Arial"/>
          <w:sz w:val="22"/>
        </w:rPr>
        <w:t xml:space="preserve"> may not be able to obtain mortgage</w:t>
      </w:r>
      <w:r>
        <w:rPr>
          <w:rFonts w:ascii="Arial" w:hAnsi="Arial" w:cs="Arial"/>
          <w:sz w:val="22"/>
        </w:rPr>
        <w:t>s</w:t>
      </w:r>
      <w:r w:rsidRPr="00987630">
        <w:rPr>
          <w:rFonts w:ascii="Arial" w:hAnsi="Arial" w:cs="Arial"/>
          <w:sz w:val="22"/>
        </w:rPr>
        <w:t xml:space="preserve"> due to lender exposure limits;</w:t>
      </w:r>
    </w:p>
    <w:p w:rsidR="00A43F56" w:rsidRPr="00987630" w:rsidRDefault="00A43F56" w:rsidP="00A43F56">
      <w:pPr>
        <w:numPr>
          <w:ilvl w:val="0"/>
          <w:numId w:val="22"/>
        </w:numPr>
        <w:jc w:val="both"/>
        <w:rPr>
          <w:rFonts w:ascii="Arial" w:hAnsi="Arial" w:cs="Arial"/>
          <w:sz w:val="22"/>
        </w:rPr>
      </w:pPr>
      <w:proofErr w:type="gramStart"/>
      <w:r w:rsidRPr="00987630">
        <w:rPr>
          <w:rFonts w:ascii="Arial" w:hAnsi="Arial" w:cs="Arial"/>
          <w:sz w:val="22"/>
        </w:rPr>
        <w:t>it</w:t>
      </w:r>
      <w:proofErr w:type="gramEnd"/>
      <w:r w:rsidRPr="00987630">
        <w:rPr>
          <w:rFonts w:ascii="Arial" w:hAnsi="Arial" w:cs="Arial"/>
          <w:sz w:val="22"/>
        </w:rPr>
        <w:t xml:space="preserve"> may be more difficult </w:t>
      </w:r>
      <w:r w:rsidR="006553AD">
        <w:rPr>
          <w:rFonts w:ascii="Arial" w:hAnsi="Arial" w:cs="Arial"/>
          <w:sz w:val="22"/>
        </w:rPr>
        <w:t>to</w:t>
      </w:r>
      <w:r w:rsidR="006553AD" w:rsidRPr="00987630">
        <w:rPr>
          <w:rFonts w:ascii="Arial" w:hAnsi="Arial" w:cs="Arial"/>
          <w:sz w:val="22"/>
        </w:rPr>
        <w:t xml:space="preserve"> </w:t>
      </w:r>
      <w:r w:rsidRPr="00987630">
        <w:rPr>
          <w:rFonts w:ascii="Arial" w:hAnsi="Arial" w:cs="Arial"/>
          <w:sz w:val="22"/>
        </w:rPr>
        <w:t xml:space="preserve">match </w:t>
      </w:r>
      <w:r>
        <w:rPr>
          <w:rFonts w:ascii="Arial" w:hAnsi="Arial" w:cs="Arial"/>
          <w:sz w:val="22"/>
        </w:rPr>
        <w:t>Homes England</w:t>
      </w:r>
      <w:r w:rsidRPr="00987630">
        <w:rPr>
          <w:rFonts w:ascii="Arial" w:hAnsi="Arial" w:cs="Arial"/>
          <w:sz w:val="22"/>
        </w:rPr>
        <w:t xml:space="preserve"> and mortgage lender affordability assessment. Those with the greatest housing need may not be able to meet the criteria of the lenders available; and</w:t>
      </w:r>
    </w:p>
    <w:p w:rsidR="00A43F56" w:rsidRPr="00987630" w:rsidRDefault="00A43F56" w:rsidP="00A43F56">
      <w:pPr>
        <w:numPr>
          <w:ilvl w:val="0"/>
          <w:numId w:val="22"/>
        </w:numPr>
        <w:jc w:val="both"/>
        <w:rPr>
          <w:rFonts w:ascii="Arial" w:hAnsi="Arial" w:cs="Arial"/>
          <w:sz w:val="22"/>
        </w:rPr>
      </w:pPr>
      <w:proofErr w:type="gramStart"/>
      <w:r w:rsidRPr="00987630">
        <w:rPr>
          <w:rFonts w:ascii="Arial" w:hAnsi="Arial" w:cs="Arial"/>
          <w:sz w:val="22"/>
        </w:rPr>
        <w:t>any</w:t>
      </w:r>
      <w:proofErr w:type="gramEnd"/>
      <w:r w:rsidRPr="00987630">
        <w:rPr>
          <w:rFonts w:ascii="Arial" w:hAnsi="Arial" w:cs="Arial"/>
          <w:sz w:val="22"/>
        </w:rPr>
        <w:t xml:space="preserve"> further withdrawal from restrictive clause shared ownership lending in the future would impact on a buyer’s ability to change mortgage products or sell on their property should their circumstances change.  </w:t>
      </w:r>
    </w:p>
    <w:p w:rsidR="00A43F56" w:rsidRPr="00987630" w:rsidRDefault="00A43F56" w:rsidP="00A43F56">
      <w:pPr>
        <w:jc w:val="both"/>
        <w:rPr>
          <w:rFonts w:ascii="Arial" w:hAnsi="Arial" w:cs="Arial"/>
          <w:sz w:val="22"/>
          <w:u w:val="single"/>
        </w:rPr>
      </w:pPr>
    </w:p>
    <w:p w:rsidR="00A43F56" w:rsidRPr="00987630" w:rsidRDefault="00A43F56" w:rsidP="00A43F56">
      <w:pPr>
        <w:numPr>
          <w:ilvl w:val="1"/>
          <w:numId w:val="23"/>
        </w:numPr>
        <w:ind w:left="709" w:hanging="709"/>
        <w:jc w:val="both"/>
        <w:rPr>
          <w:rFonts w:ascii="Arial" w:hAnsi="Arial" w:cs="Arial"/>
          <w:sz w:val="22"/>
        </w:rPr>
      </w:pPr>
      <w:r w:rsidRPr="00987630">
        <w:rPr>
          <w:rFonts w:ascii="Arial" w:hAnsi="Arial" w:cs="Arial"/>
          <w:sz w:val="22"/>
        </w:rPr>
        <w:t xml:space="preserve">RPs </w:t>
      </w:r>
      <w:proofErr w:type="gramStart"/>
      <w:r>
        <w:rPr>
          <w:rFonts w:ascii="Arial" w:hAnsi="Arial" w:cs="Arial"/>
          <w:sz w:val="22"/>
        </w:rPr>
        <w:t>appear</w:t>
      </w:r>
      <w:proofErr w:type="gramEnd"/>
      <w:r>
        <w:rPr>
          <w:rFonts w:ascii="Arial" w:hAnsi="Arial" w:cs="Arial"/>
          <w:sz w:val="22"/>
        </w:rPr>
        <w:t xml:space="preserve"> to be</w:t>
      </w:r>
      <w:r w:rsidRPr="00987630">
        <w:rPr>
          <w:rFonts w:ascii="Arial" w:hAnsi="Arial" w:cs="Arial"/>
          <w:sz w:val="22"/>
        </w:rPr>
        <w:t xml:space="preserve"> increasingly reluctant to take on shared ownership properties in DPAs due to</w:t>
      </w:r>
      <w:r>
        <w:rPr>
          <w:rFonts w:ascii="Arial" w:hAnsi="Arial" w:cs="Arial"/>
          <w:sz w:val="22"/>
        </w:rPr>
        <w:t xml:space="preserve"> the risks associated with</w:t>
      </w:r>
      <w:r w:rsidRPr="00987630">
        <w:rPr>
          <w:rFonts w:ascii="Arial" w:hAnsi="Arial" w:cs="Arial"/>
          <w:sz w:val="22"/>
        </w:rPr>
        <w:t xml:space="preserve"> lender restrictions. It may therefore be difficult to secure a</w:t>
      </w:r>
      <w:r>
        <w:rPr>
          <w:rFonts w:ascii="Arial" w:hAnsi="Arial" w:cs="Arial"/>
          <w:sz w:val="22"/>
        </w:rPr>
        <w:t>n</w:t>
      </w:r>
      <w:r w:rsidRPr="00987630">
        <w:rPr>
          <w:rFonts w:ascii="Arial" w:hAnsi="Arial" w:cs="Arial"/>
          <w:sz w:val="22"/>
        </w:rPr>
        <w:t xml:space="preserve"> RP </w:t>
      </w:r>
      <w:r>
        <w:rPr>
          <w:rFonts w:ascii="Arial" w:hAnsi="Arial" w:cs="Arial"/>
          <w:sz w:val="22"/>
        </w:rPr>
        <w:t>partner on</w:t>
      </w:r>
      <w:r w:rsidRPr="00987630">
        <w:rPr>
          <w:rFonts w:ascii="Arial" w:hAnsi="Arial" w:cs="Arial"/>
          <w:sz w:val="22"/>
        </w:rPr>
        <w:t xml:space="preserve"> sites that lie within DPA areas and may also act as a barrier to bringing forward new affordable sites. </w:t>
      </w:r>
    </w:p>
    <w:p w:rsidR="00A43F56" w:rsidRDefault="00A43F56" w:rsidP="00A43F56">
      <w:pPr>
        <w:pStyle w:val="ListParagraph"/>
        <w:rPr>
          <w:rFonts w:ascii="Arial" w:hAnsi="Arial" w:cs="Arial"/>
          <w:sz w:val="22"/>
        </w:rPr>
      </w:pPr>
    </w:p>
    <w:p w:rsidR="009E772C" w:rsidRPr="00987630" w:rsidRDefault="00857B27" w:rsidP="00987630">
      <w:pPr>
        <w:numPr>
          <w:ilvl w:val="1"/>
          <w:numId w:val="23"/>
        </w:numPr>
        <w:ind w:left="709" w:hanging="709"/>
        <w:jc w:val="both"/>
        <w:rPr>
          <w:rFonts w:ascii="Arial" w:hAnsi="Arial" w:cs="Arial"/>
          <w:sz w:val="22"/>
        </w:rPr>
      </w:pPr>
      <w:r>
        <w:rPr>
          <w:rFonts w:ascii="Arial" w:hAnsi="Arial" w:cs="Arial"/>
          <w:sz w:val="22"/>
        </w:rPr>
        <w:t>That said,</w:t>
      </w:r>
      <w:r w:rsidR="00A43F56">
        <w:rPr>
          <w:rFonts w:ascii="Arial" w:hAnsi="Arial" w:cs="Arial"/>
          <w:sz w:val="22"/>
        </w:rPr>
        <w:t xml:space="preserve"> </w:t>
      </w:r>
      <w:r w:rsidR="009E772C" w:rsidRPr="00987630">
        <w:rPr>
          <w:rFonts w:ascii="Arial" w:hAnsi="Arial" w:cs="Arial"/>
          <w:sz w:val="22"/>
        </w:rPr>
        <w:t xml:space="preserve">levels of </w:t>
      </w:r>
      <w:r w:rsidR="00A43F56">
        <w:rPr>
          <w:rFonts w:ascii="Arial" w:hAnsi="Arial" w:cs="Arial"/>
          <w:sz w:val="22"/>
        </w:rPr>
        <w:t>stair-casing, both to increase the initial</w:t>
      </w:r>
      <w:r w:rsidR="009E772C" w:rsidRPr="00987630">
        <w:rPr>
          <w:rFonts w:ascii="Arial" w:hAnsi="Arial" w:cs="Arial"/>
          <w:sz w:val="22"/>
        </w:rPr>
        <w:t xml:space="preserve"> share and to full </w:t>
      </w:r>
      <w:proofErr w:type="gramStart"/>
      <w:r w:rsidR="009E772C" w:rsidRPr="00987630">
        <w:rPr>
          <w:rFonts w:ascii="Arial" w:hAnsi="Arial" w:cs="Arial"/>
          <w:sz w:val="22"/>
        </w:rPr>
        <w:t>ownership</w:t>
      </w:r>
      <w:r>
        <w:rPr>
          <w:rFonts w:ascii="Arial" w:hAnsi="Arial" w:cs="Arial"/>
          <w:sz w:val="22"/>
        </w:rPr>
        <w:t>,</w:t>
      </w:r>
      <w:proofErr w:type="gramEnd"/>
      <w:r w:rsidR="009E772C" w:rsidRPr="00987630">
        <w:rPr>
          <w:rFonts w:ascii="Arial" w:hAnsi="Arial" w:cs="Arial"/>
          <w:sz w:val="22"/>
        </w:rPr>
        <w:t xml:space="preserve"> are low. Research published by the Cambridge Centre for Housing &amp; </w:t>
      </w:r>
      <w:r w:rsidR="009E772C" w:rsidRPr="00987630">
        <w:rPr>
          <w:rFonts w:ascii="Arial" w:hAnsi="Arial" w:cs="Arial"/>
          <w:sz w:val="22"/>
        </w:rPr>
        <w:lastRenderedPageBreak/>
        <w:t>Policy Research in 2012</w:t>
      </w:r>
      <w:r w:rsidR="009E772C" w:rsidRPr="00987630">
        <w:rPr>
          <w:rFonts w:ascii="Arial" w:hAnsi="Arial" w:cs="Arial"/>
          <w:sz w:val="22"/>
          <w:vertAlign w:val="superscript"/>
        </w:rPr>
        <w:footnoteReference w:id="1"/>
      </w:r>
      <w:r w:rsidR="009E772C" w:rsidRPr="00987630">
        <w:rPr>
          <w:rFonts w:ascii="Arial" w:hAnsi="Arial" w:cs="Arial"/>
          <w:sz w:val="22"/>
        </w:rPr>
        <w:t xml:space="preserve"> showed that rates of stair-casing to 100% had gradually decreased over the preceding 10 years, down to a level of 0.9% of shared ownership stock in 2010-11. Feedback from RPs has also </w:t>
      </w:r>
      <w:r w:rsidR="00A43F56">
        <w:rPr>
          <w:rFonts w:ascii="Arial" w:hAnsi="Arial" w:cs="Arial"/>
          <w:sz w:val="22"/>
        </w:rPr>
        <w:t>shown very low stair-casing</w:t>
      </w:r>
      <w:r w:rsidR="009E772C" w:rsidRPr="00987630">
        <w:rPr>
          <w:rFonts w:ascii="Arial" w:hAnsi="Arial" w:cs="Arial"/>
          <w:sz w:val="22"/>
        </w:rPr>
        <w:t xml:space="preserve"> over the last three years.</w:t>
      </w:r>
    </w:p>
    <w:p w:rsidR="009E772C" w:rsidRPr="00987630" w:rsidRDefault="009E772C" w:rsidP="00987630">
      <w:pPr>
        <w:pStyle w:val="ListParagraph"/>
        <w:jc w:val="both"/>
        <w:rPr>
          <w:rFonts w:ascii="Arial" w:hAnsi="Arial" w:cs="Arial"/>
          <w:sz w:val="22"/>
        </w:rPr>
      </w:pPr>
    </w:p>
    <w:p w:rsidR="009E772C" w:rsidRDefault="00A43F56" w:rsidP="00A43F56">
      <w:pPr>
        <w:numPr>
          <w:ilvl w:val="1"/>
          <w:numId w:val="23"/>
        </w:numPr>
        <w:ind w:left="709" w:hanging="709"/>
        <w:jc w:val="both"/>
        <w:rPr>
          <w:rFonts w:ascii="Arial" w:hAnsi="Arial" w:cs="Arial"/>
          <w:sz w:val="22"/>
        </w:rPr>
      </w:pPr>
      <w:r>
        <w:rPr>
          <w:rFonts w:ascii="Arial" w:hAnsi="Arial" w:cs="Arial"/>
          <w:sz w:val="22"/>
        </w:rPr>
        <w:t>U</w:t>
      </w:r>
      <w:r w:rsidR="009E772C" w:rsidRPr="00987630">
        <w:rPr>
          <w:rFonts w:ascii="Arial" w:hAnsi="Arial" w:cs="Arial"/>
          <w:sz w:val="22"/>
        </w:rPr>
        <w:t>nder certain c</w:t>
      </w:r>
      <w:r>
        <w:rPr>
          <w:rFonts w:ascii="Arial" w:hAnsi="Arial" w:cs="Arial"/>
          <w:sz w:val="22"/>
        </w:rPr>
        <w:t>ircumstances</w:t>
      </w:r>
      <w:r w:rsidRPr="00A43F56">
        <w:rPr>
          <w:rFonts w:ascii="Arial" w:hAnsi="Arial" w:cs="Arial"/>
          <w:sz w:val="22"/>
        </w:rPr>
        <w:t xml:space="preserve"> </w:t>
      </w:r>
      <w:r>
        <w:rPr>
          <w:rFonts w:ascii="Arial" w:hAnsi="Arial" w:cs="Arial"/>
          <w:sz w:val="22"/>
        </w:rPr>
        <w:t>Homes England</w:t>
      </w:r>
      <w:r w:rsidR="009E772C" w:rsidRPr="00987630">
        <w:rPr>
          <w:rFonts w:ascii="Arial" w:hAnsi="Arial" w:cs="Arial"/>
          <w:sz w:val="22"/>
        </w:rPr>
        <w:t xml:space="preserve"> is able to waive the conditions of grant relating to DPA status. All other conditions of grant would remain. </w:t>
      </w:r>
      <w:r>
        <w:rPr>
          <w:rFonts w:ascii="Arial" w:hAnsi="Arial" w:cs="Arial"/>
          <w:sz w:val="22"/>
        </w:rPr>
        <w:t>The</w:t>
      </w:r>
      <w:r w:rsidR="009E772C" w:rsidRPr="00987630">
        <w:rPr>
          <w:rFonts w:ascii="Arial" w:hAnsi="Arial" w:cs="Arial"/>
          <w:sz w:val="22"/>
        </w:rPr>
        <w:t xml:space="preserve"> application must be made by </w:t>
      </w:r>
      <w:r>
        <w:rPr>
          <w:rFonts w:ascii="Arial" w:hAnsi="Arial" w:cs="Arial"/>
          <w:sz w:val="22"/>
        </w:rPr>
        <w:t>the</w:t>
      </w:r>
      <w:r w:rsidR="009E772C" w:rsidRPr="00987630">
        <w:rPr>
          <w:rFonts w:ascii="Arial" w:hAnsi="Arial" w:cs="Arial"/>
          <w:sz w:val="22"/>
        </w:rPr>
        <w:t xml:space="preserve"> </w:t>
      </w:r>
      <w:r>
        <w:rPr>
          <w:rFonts w:ascii="Arial" w:hAnsi="Arial" w:cs="Arial"/>
          <w:sz w:val="22"/>
        </w:rPr>
        <w:t>relevant L</w:t>
      </w:r>
      <w:r w:rsidR="009E772C" w:rsidRPr="00987630">
        <w:rPr>
          <w:rFonts w:ascii="Arial" w:hAnsi="Arial" w:cs="Arial"/>
          <w:sz w:val="22"/>
        </w:rPr>
        <w:t xml:space="preserve">ocal </w:t>
      </w:r>
      <w:r>
        <w:rPr>
          <w:rFonts w:ascii="Arial" w:hAnsi="Arial" w:cs="Arial"/>
          <w:sz w:val="22"/>
        </w:rPr>
        <w:t>A</w:t>
      </w:r>
      <w:r w:rsidR="009E772C" w:rsidRPr="00987630">
        <w:rPr>
          <w:rFonts w:ascii="Arial" w:hAnsi="Arial" w:cs="Arial"/>
          <w:sz w:val="22"/>
        </w:rPr>
        <w:t>uthority</w:t>
      </w:r>
      <w:r w:rsidR="00A07205">
        <w:rPr>
          <w:rFonts w:ascii="Arial" w:hAnsi="Arial" w:cs="Arial"/>
          <w:sz w:val="22"/>
        </w:rPr>
        <w:t xml:space="preserve"> following a request from a RP</w:t>
      </w:r>
      <w:r w:rsidR="009E772C" w:rsidRPr="00987630">
        <w:rPr>
          <w:rFonts w:ascii="Arial" w:hAnsi="Arial" w:cs="Arial"/>
          <w:sz w:val="22"/>
        </w:rPr>
        <w:t xml:space="preserve">. </w:t>
      </w:r>
      <w:r w:rsidR="009E772C" w:rsidRPr="00A43F56">
        <w:rPr>
          <w:rFonts w:ascii="Arial" w:hAnsi="Arial" w:cs="Arial"/>
          <w:sz w:val="22"/>
        </w:rPr>
        <w:t xml:space="preserve">Applications for a waiver of DPA grant conditions can only be made regarding specific sites within the DPA. </w:t>
      </w:r>
      <w:r w:rsidR="006553AD">
        <w:rPr>
          <w:rFonts w:ascii="Arial" w:hAnsi="Arial" w:cs="Arial"/>
          <w:sz w:val="22"/>
        </w:rPr>
        <w:t>Homes England</w:t>
      </w:r>
      <w:r w:rsidR="009E772C" w:rsidRPr="00A43F56">
        <w:rPr>
          <w:rFonts w:ascii="Arial" w:hAnsi="Arial" w:cs="Arial"/>
          <w:sz w:val="22"/>
        </w:rPr>
        <w:t xml:space="preserve"> is unable to remove DPA status from an entire area.</w:t>
      </w:r>
    </w:p>
    <w:p w:rsidR="00235110" w:rsidRDefault="00235110" w:rsidP="00235110">
      <w:pPr>
        <w:pStyle w:val="ListParagraph"/>
        <w:rPr>
          <w:rFonts w:ascii="Arial" w:hAnsi="Arial" w:cs="Arial"/>
          <w:sz w:val="22"/>
        </w:rPr>
      </w:pPr>
    </w:p>
    <w:p w:rsidR="00235110" w:rsidRPr="00A43F56" w:rsidRDefault="00235110" w:rsidP="00A43F56">
      <w:pPr>
        <w:numPr>
          <w:ilvl w:val="1"/>
          <w:numId w:val="23"/>
        </w:numPr>
        <w:ind w:left="709" w:hanging="709"/>
        <w:jc w:val="both"/>
        <w:rPr>
          <w:rFonts w:ascii="Arial" w:hAnsi="Arial" w:cs="Arial"/>
          <w:sz w:val="22"/>
        </w:rPr>
      </w:pPr>
      <w:r w:rsidRPr="00235110">
        <w:rPr>
          <w:rFonts w:ascii="Arial" w:hAnsi="Arial" w:cs="Arial"/>
          <w:iCs/>
          <w:sz w:val="22"/>
        </w:rPr>
        <w:t>The overriding criterion in designating an area as ‘protected’ is that the location is one in which shared ownership homes would be hard to replace. Areas with high levels of existing or proposed development would be expected to provide an ongoing pipeline of new shared ownership properties</w:t>
      </w:r>
      <w:r w:rsidR="006553AD">
        <w:rPr>
          <w:rFonts w:ascii="Arial" w:hAnsi="Arial" w:cs="Arial"/>
          <w:iCs/>
          <w:sz w:val="22"/>
        </w:rPr>
        <w:t xml:space="preserve"> to replace any that are ‘lost’</w:t>
      </w:r>
      <w:r w:rsidRPr="00235110">
        <w:rPr>
          <w:rFonts w:ascii="Arial" w:hAnsi="Arial" w:cs="Arial"/>
          <w:iCs/>
          <w:sz w:val="22"/>
        </w:rPr>
        <w:t>.</w:t>
      </w:r>
    </w:p>
    <w:p w:rsidR="009E772C" w:rsidRPr="00987630" w:rsidRDefault="009E772C" w:rsidP="00987630">
      <w:pPr>
        <w:jc w:val="both"/>
        <w:rPr>
          <w:rFonts w:ascii="Arial" w:hAnsi="Arial" w:cs="Arial"/>
          <w:sz w:val="22"/>
        </w:rPr>
      </w:pPr>
    </w:p>
    <w:p w:rsidR="009E772C" w:rsidRDefault="00A43F56" w:rsidP="00987630">
      <w:pPr>
        <w:numPr>
          <w:ilvl w:val="1"/>
          <w:numId w:val="23"/>
        </w:numPr>
        <w:ind w:left="709" w:hanging="709"/>
        <w:jc w:val="both"/>
        <w:rPr>
          <w:rFonts w:ascii="Arial" w:hAnsi="Arial" w:cs="Arial"/>
          <w:sz w:val="22"/>
        </w:rPr>
      </w:pPr>
      <w:r>
        <w:rPr>
          <w:rFonts w:ascii="Arial" w:hAnsi="Arial" w:cs="Arial"/>
          <w:sz w:val="22"/>
        </w:rPr>
        <w:t xml:space="preserve">For non grant </w:t>
      </w:r>
      <w:r w:rsidR="009E772C" w:rsidRPr="00987630">
        <w:rPr>
          <w:rFonts w:ascii="Arial" w:hAnsi="Arial" w:cs="Arial"/>
          <w:sz w:val="22"/>
        </w:rPr>
        <w:t>f</w:t>
      </w:r>
      <w:r>
        <w:rPr>
          <w:rFonts w:ascii="Arial" w:hAnsi="Arial" w:cs="Arial"/>
          <w:sz w:val="22"/>
        </w:rPr>
        <w:t xml:space="preserve">unded properties (such as those </w:t>
      </w:r>
      <w:r w:rsidR="009E772C" w:rsidRPr="00987630">
        <w:rPr>
          <w:rFonts w:ascii="Arial" w:hAnsi="Arial" w:cs="Arial"/>
          <w:sz w:val="22"/>
        </w:rPr>
        <w:t xml:space="preserve">delivered through S106), the decision to enforce the DPA restrictions lies with the </w:t>
      </w:r>
      <w:r>
        <w:rPr>
          <w:rFonts w:ascii="Arial" w:hAnsi="Arial" w:cs="Arial"/>
          <w:sz w:val="22"/>
        </w:rPr>
        <w:t>L</w:t>
      </w:r>
      <w:r w:rsidR="009E772C" w:rsidRPr="00987630">
        <w:rPr>
          <w:rFonts w:ascii="Arial" w:hAnsi="Arial" w:cs="Arial"/>
          <w:sz w:val="22"/>
        </w:rPr>
        <w:t xml:space="preserve">ocal </w:t>
      </w:r>
      <w:r>
        <w:rPr>
          <w:rFonts w:ascii="Arial" w:hAnsi="Arial" w:cs="Arial"/>
          <w:sz w:val="22"/>
        </w:rPr>
        <w:t>A</w:t>
      </w:r>
      <w:r w:rsidR="009E772C" w:rsidRPr="00987630">
        <w:rPr>
          <w:rFonts w:ascii="Arial" w:hAnsi="Arial" w:cs="Arial"/>
          <w:sz w:val="22"/>
        </w:rPr>
        <w:t xml:space="preserve">uthority. </w:t>
      </w:r>
      <w:r>
        <w:rPr>
          <w:rFonts w:ascii="Arial" w:hAnsi="Arial" w:cs="Arial"/>
          <w:sz w:val="22"/>
        </w:rPr>
        <w:t>Homes England</w:t>
      </w:r>
      <w:r w:rsidR="009E772C" w:rsidRPr="00987630">
        <w:rPr>
          <w:rFonts w:ascii="Arial" w:hAnsi="Arial" w:cs="Arial"/>
          <w:sz w:val="22"/>
        </w:rPr>
        <w:t xml:space="preserve"> </w:t>
      </w:r>
      <w:proofErr w:type="gramStart"/>
      <w:r w:rsidR="009E772C" w:rsidRPr="00987630">
        <w:rPr>
          <w:rFonts w:ascii="Arial" w:hAnsi="Arial" w:cs="Arial"/>
          <w:sz w:val="22"/>
        </w:rPr>
        <w:t>have</w:t>
      </w:r>
      <w:proofErr w:type="gramEnd"/>
      <w:r w:rsidR="009E772C" w:rsidRPr="00987630">
        <w:rPr>
          <w:rFonts w:ascii="Arial" w:hAnsi="Arial" w:cs="Arial"/>
          <w:sz w:val="22"/>
        </w:rPr>
        <w:t xml:space="preserve"> indicated that local authorities should have regard to their criter</w:t>
      </w:r>
      <w:r w:rsidR="006553AD">
        <w:rPr>
          <w:rFonts w:ascii="Arial" w:hAnsi="Arial" w:cs="Arial"/>
          <w:sz w:val="22"/>
        </w:rPr>
        <w:t>i</w:t>
      </w:r>
      <w:r>
        <w:rPr>
          <w:rFonts w:ascii="Arial" w:hAnsi="Arial" w:cs="Arial"/>
          <w:sz w:val="22"/>
        </w:rPr>
        <w:t>a</w:t>
      </w:r>
      <w:r w:rsidR="009E772C" w:rsidRPr="00987630">
        <w:rPr>
          <w:rFonts w:ascii="Arial" w:hAnsi="Arial" w:cs="Arial"/>
          <w:sz w:val="22"/>
        </w:rPr>
        <w:t xml:space="preserve"> when making a judgement. Their guidance further states </w:t>
      </w:r>
      <w:r>
        <w:rPr>
          <w:rFonts w:ascii="Arial" w:hAnsi="Arial" w:cs="Arial"/>
          <w:sz w:val="22"/>
        </w:rPr>
        <w:t xml:space="preserve">that </w:t>
      </w:r>
      <w:r w:rsidR="009E772C" w:rsidRPr="00987630">
        <w:rPr>
          <w:rFonts w:ascii="Arial" w:hAnsi="Arial" w:cs="Arial"/>
          <w:sz w:val="22"/>
        </w:rPr>
        <w:t xml:space="preserve">‘the Agency would suggest that the Authority carefully consider the merits of such a restriction if it imposes the same barriers to development that the Agency is seeking to overcome.’ </w:t>
      </w:r>
    </w:p>
    <w:p w:rsidR="009B5FC9" w:rsidRDefault="009B5FC9" w:rsidP="009B5FC9">
      <w:pPr>
        <w:pStyle w:val="ListParagraph"/>
        <w:rPr>
          <w:rFonts w:ascii="Arial" w:hAnsi="Arial" w:cs="Arial"/>
          <w:sz w:val="22"/>
        </w:rPr>
      </w:pPr>
    </w:p>
    <w:p w:rsidR="009B5FC9" w:rsidRPr="00987630" w:rsidRDefault="009B5FC9" w:rsidP="00987630">
      <w:pPr>
        <w:numPr>
          <w:ilvl w:val="1"/>
          <w:numId w:val="23"/>
        </w:numPr>
        <w:ind w:left="709" w:hanging="709"/>
        <w:jc w:val="both"/>
        <w:rPr>
          <w:rFonts w:ascii="Arial" w:hAnsi="Arial" w:cs="Arial"/>
          <w:sz w:val="22"/>
        </w:rPr>
      </w:pPr>
      <w:r>
        <w:rPr>
          <w:rFonts w:ascii="Arial" w:hAnsi="Arial" w:cs="Arial"/>
          <w:sz w:val="22"/>
        </w:rPr>
        <w:t>In some Local Authorities, requests for DPA waivers have been refused, in others the decision had been made not to enforce DPA restrictions in some areas on non grant funded schemes and will review requests for waivers on a case by case basis</w:t>
      </w:r>
      <w:r w:rsidR="006553AD">
        <w:rPr>
          <w:rFonts w:ascii="Arial" w:hAnsi="Arial" w:cs="Arial"/>
          <w:sz w:val="22"/>
        </w:rPr>
        <w:t>.</w:t>
      </w:r>
      <w:r>
        <w:rPr>
          <w:rFonts w:ascii="Arial" w:hAnsi="Arial" w:cs="Arial"/>
          <w:sz w:val="22"/>
        </w:rPr>
        <w:t xml:space="preserve"> </w:t>
      </w:r>
      <w:r w:rsidR="006553AD">
        <w:rPr>
          <w:rFonts w:ascii="Arial" w:hAnsi="Arial" w:cs="Arial"/>
          <w:sz w:val="22"/>
        </w:rPr>
        <w:t>I</w:t>
      </w:r>
      <w:r>
        <w:rPr>
          <w:rFonts w:ascii="Arial" w:hAnsi="Arial" w:cs="Arial"/>
          <w:sz w:val="22"/>
        </w:rPr>
        <w:t>n others the standard shared ownership lease has been altered to take account of the DPA restrictions and include a buy back clause for the RP</w:t>
      </w:r>
      <w:bookmarkStart w:id="0" w:name="_GoBack"/>
      <w:r w:rsidR="00683B2B">
        <w:rPr>
          <w:rFonts w:ascii="Arial" w:hAnsi="Arial" w:cs="Arial"/>
          <w:sz w:val="22"/>
        </w:rPr>
        <w:t xml:space="preserve"> </w:t>
      </w:r>
      <w:bookmarkEnd w:id="0"/>
      <w:r w:rsidR="00683B2B">
        <w:rPr>
          <w:rFonts w:ascii="Arial" w:hAnsi="Arial" w:cs="Arial"/>
          <w:sz w:val="22"/>
        </w:rPr>
        <w:t>and is used in cases where a site is within a DPA</w:t>
      </w:r>
      <w:r>
        <w:rPr>
          <w:rFonts w:ascii="Arial" w:hAnsi="Arial" w:cs="Arial"/>
          <w:sz w:val="22"/>
        </w:rPr>
        <w:t>.</w:t>
      </w:r>
    </w:p>
    <w:p w:rsidR="00CD3B78" w:rsidRPr="00987630" w:rsidRDefault="00CD3B78" w:rsidP="00987630">
      <w:pPr>
        <w:jc w:val="both"/>
        <w:rPr>
          <w:rFonts w:ascii="Arial" w:hAnsi="Arial" w:cs="Arial"/>
          <w:sz w:val="22"/>
        </w:rPr>
      </w:pPr>
    </w:p>
    <w:p w:rsidR="00F82372" w:rsidRPr="00987630" w:rsidRDefault="00E536A6" w:rsidP="00987630">
      <w:pPr>
        <w:jc w:val="both"/>
        <w:rPr>
          <w:rFonts w:ascii="Arial" w:hAnsi="Arial" w:cs="Arial"/>
          <w:b/>
          <w:sz w:val="22"/>
        </w:rPr>
      </w:pPr>
      <w:r w:rsidRPr="00987630">
        <w:rPr>
          <w:rFonts w:ascii="Arial" w:hAnsi="Arial" w:cs="Arial"/>
          <w:b/>
          <w:sz w:val="22"/>
        </w:rPr>
        <w:t>5</w:t>
      </w:r>
      <w:r w:rsidR="00F82372" w:rsidRPr="00987630">
        <w:rPr>
          <w:rFonts w:ascii="Arial" w:hAnsi="Arial" w:cs="Arial"/>
          <w:b/>
          <w:sz w:val="22"/>
        </w:rPr>
        <w:t>.0</w:t>
      </w:r>
      <w:r w:rsidR="00F82372" w:rsidRPr="00987630">
        <w:rPr>
          <w:rFonts w:ascii="Arial" w:hAnsi="Arial" w:cs="Arial"/>
          <w:b/>
          <w:sz w:val="22"/>
        </w:rPr>
        <w:tab/>
        <w:t>Recommendation</w:t>
      </w:r>
    </w:p>
    <w:p w:rsidR="0006646B" w:rsidRPr="00987630" w:rsidRDefault="0006646B" w:rsidP="00987630">
      <w:pPr>
        <w:jc w:val="both"/>
        <w:rPr>
          <w:rFonts w:ascii="Arial" w:hAnsi="Arial" w:cs="Arial"/>
          <w:b/>
          <w:sz w:val="22"/>
        </w:rPr>
      </w:pPr>
    </w:p>
    <w:p w:rsidR="008F3515" w:rsidRPr="00987630" w:rsidRDefault="008F3515" w:rsidP="00987630">
      <w:pPr>
        <w:ind w:left="720"/>
        <w:jc w:val="both"/>
        <w:rPr>
          <w:rFonts w:ascii="Arial" w:hAnsi="Arial" w:cs="Arial"/>
          <w:sz w:val="22"/>
        </w:rPr>
      </w:pPr>
      <w:r w:rsidRPr="00987630">
        <w:rPr>
          <w:rFonts w:ascii="Arial" w:hAnsi="Arial" w:cs="Arial"/>
          <w:sz w:val="22"/>
        </w:rPr>
        <w:t>NYRHE Network members are requested t</w:t>
      </w:r>
      <w:r w:rsidR="00322968" w:rsidRPr="00987630">
        <w:rPr>
          <w:rFonts w:ascii="Arial" w:hAnsi="Arial" w:cs="Arial"/>
          <w:sz w:val="22"/>
        </w:rPr>
        <w:t>o</w:t>
      </w:r>
      <w:r w:rsidR="00322968" w:rsidRPr="00987630">
        <w:rPr>
          <w:rFonts w:ascii="Arial" w:hAnsi="Arial" w:cs="Arial"/>
          <w:b/>
          <w:sz w:val="22"/>
        </w:rPr>
        <w:t xml:space="preserve"> </w:t>
      </w:r>
      <w:r w:rsidR="009B5FC9">
        <w:rPr>
          <w:rFonts w:ascii="Arial" w:hAnsi="Arial" w:cs="Arial"/>
          <w:b/>
          <w:sz w:val="22"/>
        </w:rPr>
        <w:t>discuss</w:t>
      </w:r>
      <w:r w:rsidRPr="00987630">
        <w:rPr>
          <w:rFonts w:ascii="Arial" w:hAnsi="Arial" w:cs="Arial"/>
          <w:sz w:val="22"/>
        </w:rPr>
        <w:t xml:space="preserve"> and </w:t>
      </w:r>
      <w:r w:rsidRPr="00987630">
        <w:rPr>
          <w:rFonts w:ascii="Arial" w:hAnsi="Arial" w:cs="Arial"/>
          <w:b/>
          <w:sz w:val="22"/>
        </w:rPr>
        <w:t xml:space="preserve">agree </w:t>
      </w:r>
      <w:r w:rsidRPr="00987630">
        <w:rPr>
          <w:rFonts w:ascii="Arial" w:hAnsi="Arial" w:cs="Arial"/>
          <w:sz w:val="22"/>
        </w:rPr>
        <w:t>the following:</w:t>
      </w:r>
    </w:p>
    <w:p w:rsidR="00171ED5" w:rsidRDefault="00DE7936" w:rsidP="00683B2B">
      <w:pPr>
        <w:numPr>
          <w:ilvl w:val="4"/>
          <w:numId w:val="28"/>
        </w:numPr>
        <w:ind w:left="1418" w:hanging="425"/>
        <w:jc w:val="both"/>
        <w:rPr>
          <w:rFonts w:ascii="Arial" w:hAnsi="Arial" w:cs="Arial"/>
          <w:sz w:val="22"/>
        </w:rPr>
      </w:pPr>
      <w:r>
        <w:rPr>
          <w:rFonts w:ascii="Arial" w:hAnsi="Arial" w:cs="Arial"/>
          <w:sz w:val="22"/>
        </w:rPr>
        <w:t>The extent of the issue</w:t>
      </w:r>
    </w:p>
    <w:p w:rsidR="00DE7936" w:rsidRDefault="00DE7936" w:rsidP="00683B2B">
      <w:pPr>
        <w:numPr>
          <w:ilvl w:val="4"/>
          <w:numId w:val="28"/>
        </w:numPr>
        <w:ind w:left="1418" w:hanging="425"/>
        <w:jc w:val="both"/>
        <w:rPr>
          <w:rFonts w:ascii="Arial" w:hAnsi="Arial" w:cs="Arial"/>
          <w:sz w:val="22"/>
        </w:rPr>
      </w:pPr>
      <w:r>
        <w:rPr>
          <w:rFonts w:ascii="Arial" w:hAnsi="Arial" w:cs="Arial"/>
          <w:sz w:val="22"/>
        </w:rPr>
        <w:t>The preferred response to this</w:t>
      </w:r>
    </w:p>
    <w:p w:rsidR="00DE7936" w:rsidRDefault="00DE7936" w:rsidP="00683B2B">
      <w:pPr>
        <w:numPr>
          <w:ilvl w:val="4"/>
          <w:numId w:val="28"/>
        </w:numPr>
        <w:ind w:left="1418" w:hanging="425"/>
        <w:jc w:val="both"/>
        <w:rPr>
          <w:rFonts w:ascii="Arial" w:hAnsi="Arial" w:cs="Arial"/>
          <w:sz w:val="22"/>
        </w:rPr>
      </w:pPr>
      <w:r>
        <w:rPr>
          <w:rFonts w:ascii="Arial" w:hAnsi="Arial" w:cs="Arial"/>
          <w:sz w:val="22"/>
        </w:rPr>
        <w:t xml:space="preserve">The use of shared ownership leases which include the </w:t>
      </w:r>
      <w:proofErr w:type="spellStart"/>
      <w:r>
        <w:rPr>
          <w:rFonts w:ascii="Arial" w:hAnsi="Arial" w:cs="Arial"/>
          <w:sz w:val="22"/>
        </w:rPr>
        <w:t>buy back</w:t>
      </w:r>
      <w:proofErr w:type="spellEnd"/>
      <w:r>
        <w:rPr>
          <w:rFonts w:ascii="Arial" w:hAnsi="Arial" w:cs="Arial"/>
          <w:sz w:val="22"/>
        </w:rPr>
        <w:t xml:space="preserve"> option</w:t>
      </w:r>
    </w:p>
    <w:p w:rsidR="00DE7936" w:rsidRDefault="00DE7936" w:rsidP="00DE7936">
      <w:pPr>
        <w:numPr>
          <w:ilvl w:val="4"/>
          <w:numId w:val="28"/>
        </w:numPr>
        <w:ind w:left="1418" w:hanging="425"/>
        <w:jc w:val="both"/>
        <w:rPr>
          <w:rFonts w:ascii="Arial" w:hAnsi="Arial" w:cs="Arial"/>
          <w:sz w:val="22"/>
        </w:rPr>
      </w:pPr>
      <w:r>
        <w:rPr>
          <w:rFonts w:ascii="Arial" w:hAnsi="Arial" w:cs="Arial"/>
          <w:sz w:val="22"/>
        </w:rPr>
        <w:t>Any recommendations to the Housing Board about consistency of approach on this issue across the Partnership area</w:t>
      </w:r>
    </w:p>
    <w:p w:rsidR="00DE7936" w:rsidRPr="00987630" w:rsidRDefault="00DE7936" w:rsidP="00DE7936">
      <w:pPr>
        <w:numPr>
          <w:ilvl w:val="4"/>
          <w:numId w:val="28"/>
        </w:numPr>
        <w:ind w:left="1418" w:hanging="425"/>
        <w:jc w:val="both"/>
        <w:rPr>
          <w:rFonts w:ascii="Arial" w:hAnsi="Arial" w:cs="Arial"/>
          <w:sz w:val="22"/>
        </w:rPr>
      </w:pPr>
      <w:r>
        <w:rPr>
          <w:rFonts w:ascii="Arial" w:hAnsi="Arial" w:cs="Arial"/>
          <w:sz w:val="22"/>
        </w:rPr>
        <w:t>Any recommendations or further questions to Homes England on this issue.</w:t>
      </w:r>
    </w:p>
    <w:p w:rsidR="009B5FC9" w:rsidRDefault="009B5FC9" w:rsidP="004A0661">
      <w:pPr>
        <w:jc w:val="both"/>
        <w:rPr>
          <w:rFonts w:ascii="Arial" w:hAnsi="Arial" w:cs="Arial"/>
          <w:sz w:val="22"/>
        </w:rPr>
      </w:pPr>
    </w:p>
    <w:p w:rsidR="009B5FC9" w:rsidRPr="00DE7936" w:rsidRDefault="00DE7936" w:rsidP="004A0661">
      <w:pPr>
        <w:jc w:val="both"/>
        <w:rPr>
          <w:rFonts w:ascii="Arial" w:hAnsi="Arial" w:cs="Arial"/>
          <w:b/>
          <w:sz w:val="22"/>
        </w:rPr>
      </w:pPr>
      <w:r w:rsidRPr="00DE7936">
        <w:rPr>
          <w:rFonts w:ascii="Arial" w:hAnsi="Arial" w:cs="Arial"/>
          <w:b/>
          <w:sz w:val="22"/>
        </w:rPr>
        <w:t>Further Information</w:t>
      </w:r>
    </w:p>
    <w:p w:rsidR="004A0661" w:rsidRDefault="00683B2B" w:rsidP="004A0661">
      <w:pPr>
        <w:jc w:val="both"/>
        <w:rPr>
          <w:rFonts w:ascii="Arial" w:hAnsi="Arial" w:cs="Arial"/>
          <w:sz w:val="22"/>
        </w:rPr>
      </w:pPr>
      <w:hyperlink r:id="rId8" w:anchor="sec137" w:history="1">
        <w:r w:rsidR="004A0661" w:rsidRPr="00186FC2">
          <w:rPr>
            <w:rStyle w:val="Hyperlink"/>
            <w:rFonts w:ascii="Arial" w:hAnsi="Arial" w:cs="Arial"/>
            <w:sz w:val="22"/>
          </w:rPr>
          <w:t>https://www.gov.uk/guidance/capital-funding-guide/1-help-to-buy-shared-ownership#sec137</w:t>
        </w:r>
      </w:hyperlink>
      <w:r w:rsidR="004A0661">
        <w:rPr>
          <w:rFonts w:ascii="Arial" w:hAnsi="Arial" w:cs="Arial"/>
          <w:sz w:val="22"/>
        </w:rPr>
        <w:t xml:space="preserve"> </w:t>
      </w:r>
    </w:p>
    <w:p w:rsidR="004A0661" w:rsidRDefault="004A0661" w:rsidP="004A0661">
      <w:pPr>
        <w:jc w:val="both"/>
        <w:rPr>
          <w:rFonts w:ascii="Arial" w:hAnsi="Arial" w:cs="Arial"/>
          <w:sz w:val="22"/>
        </w:rPr>
      </w:pPr>
    </w:p>
    <w:p w:rsidR="004A0661" w:rsidRPr="004A0661" w:rsidRDefault="004A0661" w:rsidP="004A0661">
      <w:pPr>
        <w:jc w:val="both"/>
        <w:rPr>
          <w:rFonts w:ascii="Arial" w:hAnsi="Arial" w:cs="Arial"/>
          <w:sz w:val="22"/>
        </w:rPr>
      </w:pPr>
      <w:r>
        <w:lastRenderedPageBreak/>
        <w:t xml:space="preserve">Further guidance on Designated Protected Areas and the waiver form can be found </w:t>
      </w:r>
      <w:r w:rsidR="00DE7936">
        <w:t>at</w:t>
      </w:r>
      <w:r>
        <w:t xml:space="preserve"> </w:t>
      </w:r>
      <w:hyperlink r:id="rId9" w:history="1">
        <w:r w:rsidR="00DE7936" w:rsidRPr="00186FC2">
          <w:rPr>
            <w:rStyle w:val="Hyperlink"/>
          </w:rPr>
          <w:t>https://www.gov.uk/government/publications/designated-protected-areas</w:t>
        </w:r>
      </w:hyperlink>
      <w:r w:rsidR="00DE7936">
        <w:t xml:space="preserve"> </w:t>
      </w:r>
    </w:p>
    <w:sectPr w:rsidR="004A0661" w:rsidRPr="004A0661" w:rsidSect="00167ADE">
      <w:footerReference w:type="even" r:id="rId10"/>
      <w:footerReference w:type="default" r:id="rId11"/>
      <w:pgSz w:w="12240" w:h="15840"/>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231" w:rsidRDefault="005F5231">
      <w:r>
        <w:separator/>
      </w:r>
    </w:p>
  </w:endnote>
  <w:endnote w:type="continuationSeparator" w:id="0">
    <w:p w:rsidR="005F5231" w:rsidRDefault="005F5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506" w:rsidRDefault="00541506" w:rsidP="00A01E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1506" w:rsidRDefault="005415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506" w:rsidRDefault="00541506" w:rsidP="00A01E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3B2B">
      <w:rPr>
        <w:rStyle w:val="PageNumber"/>
        <w:noProof/>
      </w:rPr>
      <w:t>3</w:t>
    </w:r>
    <w:r>
      <w:rPr>
        <w:rStyle w:val="PageNumber"/>
      </w:rPr>
      <w:fldChar w:fldCharType="end"/>
    </w:r>
  </w:p>
  <w:p w:rsidR="00541506" w:rsidRDefault="00541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231" w:rsidRDefault="005F5231">
      <w:r>
        <w:separator/>
      </w:r>
    </w:p>
  </w:footnote>
  <w:footnote w:type="continuationSeparator" w:id="0">
    <w:p w:rsidR="005F5231" w:rsidRDefault="005F5231">
      <w:r>
        <w:continuationSeparator/>
      </w:r>
    </w:p>
  </w:footnote>
  <w:footnote w:id="1">
    <w:p w:rsidR="009E772C" w:rsidRPr="004435D8" w:rsidRDefault="009E772C" w:rsidP="009E772C">
      <w:pPr>
        <w:pStyle w:val="FootnoteText"/>
        <w:rPr>
          <w:rFonts w:ascii="Gill Sans MT" w:hAnsi="Gill Sans MT"/>
          <w:i/>
        </w:rPr>
      </w:pPr>
      <w:r w:rsidRPr="004435D8">
        <w:rPr>
          <w:rStyle w:val="FootnoteReference"/>
          <w:rFonts w:ascii="Gill Sans MT" w:hAnsi="Gill Sans MT"/>
        </w:rPr>
        <w:footnoteRef/>
      </w:r>
      <w:r w:rsidRPr="004435D8">
        <w:rPr>
          <w:rFonts w:ascii="Gill Sans MT" w:hAnsi="Gill Sans MT"/>
        </w:rPr>
        <w:t xml:space="preserve"> Cambridge Centre for Housing Policy &amp; Research (2012) </w:t>
      </w:r>
      <w:r w:rsidRPr="004435D8">
        <w:rPr>
          <w:rFonts w:ascii="Gill Sans MT" w:hAnsi="Gill Sans MT"/>
          <w:i/>
        </w:rPr>
        <w:t xml:space="preserve">Understanding the second-hand market for shared ownership properties </w:t>
      </w:r>
      <w:hyperlink r:id="rId1" w:history="1">
        <w:r w:rsidRPr="004435D8">
          <w:rPr>
            <w:rStyle w:val="Hyperlink"/>
            <w:rFonts w:ascii="Gill Sans MT" w:hAnsi="Gill Sans MT"/>
          </w:rPr>
          <w:t>http://www.cchpr.landecon.cam.ac.uk/Projects/Start-Year/2011/Understanding-second-hand-market-shared-ownership-properties/Project-Report</w:t>
        </w:r>
      </w:hyperlink>
      <w:r w:rsidRPr="004435D8">
        <w:rPr>
          <w:rFonts w:ascii="Gill Sans MT" w:hAnsi="Gill Sans MT"/>
        </w:rPr>
        <w:t xml:space="preserve">   </w:t>
      </w:r>
      <w:r w:rsidRPr="004435D8">
        <w:rPr>
          <w:rFonts w:ascii="Gill Sans MT" w:hAnsi="Gill Sans MT"/>
          <w:i/>
        </w:rP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7554"/>
    <w:multiLevelType w:val="hybridMultilevel"/>
    <w:tmpl w:val="CDA2374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159F2154"/>
    <w:multiLevelType w:val="hybridMultilevel"/>
    <w:tmpl w:val="8DA0D22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A463215"/>
    <w:multiLevelType w:val="hybridMultilevel"/>
    <w:tmpl w:val="FE06E35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nsid w:val="1B1D4FA1"/>
    <w:multiLevelType w:val="hybridMultilevel"/>
    <w:tmpl w:val="6882DCEA"/>
    <w:lvl w:ilvl="0" w:tplc="520C2978">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F857462"/>
    <w:multiLevelType w:val="hybridMultilevel"/>
    <w:tmpl w:val="901AC0B6"/>
    <w:lvl w:ilvl="0" w:tplc="C36A2ECC">
      <w:start w:val="5"/>
      <w:numFmt w:val="decimal"/>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5">
    <w:nsid w:val="22641D7E"/>
    <w:multiLevelType w:val="hybridMultilevel"/>
    <w:tmpl w:val="E3E8EE9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nsid w:val="29154CF2"/>
    <w:multiLevelType w:val="multilevel"/>
    <w:tmpl w:val="6C92863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B076229"/>
    <w:multiLevelType w:val="hybridMultilevel"/>
    <w:tmpl w:val="126C222C"/>
    <w:lvl w:ilvl="0" w:tplc="4844EB1C">
      <w:numFmt w:val="bullet"/>
      <w:lvlText w:val=""/>
      <w:lvlJc w:val="left"/>
      <w:pPr>
        <w:tabs>
          <w:tab w:val="num" w:pos="1080"/>
        </w:tabs>
        <w:ind w:left="1080" w:hanging="360"/>
      </w:pPr>
      <w:rPr>
        <w:rFonts w:ascii="Symbol" w:eastAsia="Times New Roman" w:hAnsi="Symbo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38C35D57"/>
    <w:multiLevelType w:val="multilevel"/>
    <w:tmpl w:val="19041C2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6601E20"/>
    <w:multiLevelType w:val="hybridMultilevel"/>
    <w:tmpl w:val="3494979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D685C5D"/>
    <w:multiLevelType w:val="hybridMultilevel"/>
    <w:tmpl w:val="152EE738"/>
    <w:lvl w:ilvl="0" w:tplc="05C011EE">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DF505AE"/>
    <w:multiLevelType w:val="multilevel"/>
    <w:tmpl w:val="9CDC50F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8574D63"/>
    <w:multiLevelType w:val="multilevel"/>
    <w:tmpl w:val="6C92863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B662D58"/>
    <w:multiLevelType w:val="hybridMultilevel"/>
    <w:tmpl w:val="9C1C7C68"/>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4">
    <w:nsid w:val="5C16716A"/>
    <w:multiLevelType w:val="hybridMultilevel"/>
    <w:tmpl w:val="D89C7498"/>
    <w:lvl w:ilvl="0" w:tplc="5B402C10">
      <w:start w:val="5"/>
      <w:numFmt w:val="decimal"/>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5">
    <w:nsid w:val="5D252C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DBF3025"/>
    <w:multiLevelType w:val="multilevel"/>
    <w:tmpl w:val="6C92863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ECD31BB"/>
    <w:multiLevelType w:val="hybridMultilevel"/>
    <w:tmpl w:val="094AB81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606A1D03"/>
    <w:multiLevelType w:val="multilevel"/>
    <w:tmpl w:val="5842701A"/>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633A73FD"/>
    <w:multiLevelType w:val="multilevel"/>
    <w:tmpl w:val="F50C720C"/>
    <w:lvl w:ilvl="0">
      <w:start w:val="5"/>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4880649"/>
    <w:multiLevelType w:val="multilevel"/>
    <w:tmpl w:val="19041C2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F2B26BD"/>
    <w:multiLevelType w:val="hybridMultilevel"/>
    <w:tmpl w:val="C5A8386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738D4AD6"/>
    <w:multiLevelType w:val="hybridMultilevel"/>
    <w:tmpl w:val="F4FC18DE"/>
    <w:lvl w:ilvl="0" w:tplc="8AEE4554">
      <w:numFmt w:val="bullet"/>
      <w:lvlText w:val=""/>
      <w:lvlJc w:val="left"/>
      <w:pPr>
        <w:tabs>
          <w:tab w:val="num" w:pos="1155"/>
        </w:tabs>
        <w:ind w:left="1155" w:hanging="360"/>
      </w:pPr>
      <w:rPr>
        <w:rFonts w:ascii="Symbol" w:eastAsia="Times New Roman" w:hAnsi="Symbol" w:cs="Times New Roman" w:hint="default"/>
      </w:rPr>
    </w:lvl>
    <w:lvl w:ilvl="1" w:tplc="08090003" w:tentative="1">
      <w:start w:val="1"/>
      <w:numFmt w:val="bullet"/>
      <w:lvlText w:val="o"/>
      <w:lvlJc w:val="left"/>
      <w:pPr>
        <w:tabs>
          <w:tab w:val="num" w:pos="1875"/>
        </w:tabs>
        <w:ind w:left="1875" w:hanging="360"/>
      </w:pPr>
      <w:rPr>
        <w:rFonts w:ascii="Courier New" w:hAnsi="Courier New" w:cs="Courier New" w:hint="default"/>
      </w:rPr>
    </w:lvl>
    <w:lvl w:ilvl="2" w:tplc="08090005" w:tentative="1">
      <w:start w:val="1"/>
      <w:numFmt w:val="bullet"/>
      <w:lvlText w:val=""/>
      <w:lvlJc w:val="left"/>
      <w:pPr>
        <w:tabs>
          <w:tab w:val="num" w:pos="2595"/>
        </w:tabs>
        <w:ind w:left="2595" w:hanging="360"/>
      </w:pPr>
      <w:rPr>
        <w:rFonts w:ascii="Wingdings" w:hAnsi="Wingdings" w:hint="default"/>
      </w:rPr>
    </w:lvl>
    <w:lvl w:ilvl="3" w:tplc="08090001" w:tentative="1">
      <w:start w:val="1"/>
      <w:numFmt w:val="bullet"/>
      <w:lvlText w:val=""/>
      <w:lvlJc w:val="left"/>
      <w:pPr>
        <w:tabs>
          <w:tab w:val="num" w:pos="3315"/>
        </w:tabs>
        <w:ind w:left="3315" w:hanging="360"/>
      </w:pPr>
      <w:rPr>
        <w:rFonts w:ascii="Symbol" w:hAnsi="Symbol" w:hint="default"/>
      </w:rPr>
    </w:lvl>
    <w:lvl w:ilvl="4" w:tplc="08090003" w:tentative="1">
      <w:start w:val="1"/>
      <w:numFmt w:val="bullet"/>
      <w:lvlText w:val="o"/>
      <w:lvlJc w:val="left"/>
      <w:pPr>
        <w:tabs>
          <w:tab w:val="num" w:pos="4035"/>
        </w:tabs>
        <w:ind w:left="4035" w:hanging="360"/>
      </w:pPr>
      <w:rPr>
        <w:rFonts w:ascii="Courier New" w:hAnsi="Courier New" w:cs="Courier New" w:hint="default"/>
      </w:rPr>
    </w:lvl>
    <w:lvl w:ilvl="5" w:tplc="08090005" w:tentative="1">
      <w:start w:val="1"/>
      <w:numFmt w:val="bullet"/>
      <w:lvlText w:val=""/>
      <w:lvlJc w:val="left"/>
      <w:pPr>
        <w:tabs>
          <w:tab w:val="num" w:pos="4755"/>
        </w:tabs>
        <w:ind w:left="4755" w:hanging="360"/>
      </w:pPr>
      <w:rPr>
        <w:rFonts w:ascii="Wingdings" w:hAnsi="Wingdings" w:hint="default"/>
      </w:rPr>
    </w:lvl>
    <w:lvl w:ilvl="6" w:tplc="08090001" w:tentative="1">
      <w:start w:val="1"/>
      <w:numFmt w:val="bullet"/>
      <w:lvlText w:val=""/>
      <w:lvlJc w:val="left"/>
      <w:pPr>
        <w:tabs>
          <w:tab w:val="num" w:pos="5475"/>
        </w:tabs>
        <w:ind w:left="5475" w:hanging="360"/>
      </w:pPr>
      <w:rPr>
        <w:rFonts w:ascii="Symbol" w:hAnsi="Symbol" w:hint="default"/>
      </w:rPr>
    </w:lvl>
    <w:lvl w:ilvl="7" w:tplc="08090003" w:tentative="1">
      <w:start w:val="1"/>
      <w:numFmt w:val="bullet"/>
      <w:lvlText w:val="o"/>
      <w:lvlJc w:val="left"/>
      <w:pPr>
        <w:tabs>
          <w:tab w:val="num" w:pos="6195"/>
        </w:tabs>
        <w:ind w:left="6195" w:hanging="360"/>
      </w:pPr>
      <w:rPr>
        <w:rFonts w:ascii="Courier New" w:hAnsi="Courier New" w:cs="Courier New" w:hint="default"/>
      </w:rPr>
    </w:lvl>
    <w:lvl w:ilvl="8" w:tplc="08090005" w:tentative="1">
      <w:start w:val="1"/>
      <w:numFmt w:val="bullet"/>
      <w:lvlText w:val=""/>
      <w:lvlJc w:val="left"/>
      <w:pPr>
        <w:tabs>
          <w:tab w:val="num" w:pos="6915"/>
        </w:tabs>
        <w:ind w:left="6915" w:hanging="360"/>
      </w:pPr>
      <w:rPr>
        <w:rFonts w:ascii="Wingdings" w:hAnsi="Wingdings" w:hint="default"/>
      </w:rPr>
    </w:lvl>
  </w:abstractNum>
  <w:abstractNum w:abstractNumId="23">
    <w:nsid w:val="73C75D4F"/>
    <w:multiLevelType w:val="hybridMultilevel"/>
    <w:tmpl w:val="31B206EA"/>
    <w:lvl w:ilvl="0" w:tplc="A22034E2">
      <w:start w:val="5"/>
      <w:numFmt w:val="bullet"/>
      <w:lvlText w:val="-"/>
      <w:lvlJc w:val="left"/>
      <w:pPr>
        <w:ind w:left="1020" w:hanging="360"/>
      </w:pPr>
      <w:rPr>
        <w:rFonts w:ascii="Arial" w:eastAsia="Times New Roman" w:hAnsi="Arial" w:cs="Aria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4">
    <w:nsid w:val="77AF35A0"/>
    <w:multiLevelType w:val="hybridMultilevel"/>
    <w:tmpl w:val="0A12DA02"/>
    <w:lvl w:ilvl="0" w:tplc="7944AC64">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77EB497D"/>
    <w:multiLevelType w:val="hybridMultilevel"/>
    <w:tmpl w:val="9BB27692"/>
    <w:lvl w:ilvl="0" w:tplc="CB8C362C">
      <w:start w:val="5"/>
      <w:numFmt w:val="decimal"/>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num w:numId="1">
    <w:abstractNumId w:val="9"/>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0"/>
  </w:num>
  <w:num w:numId="6">
    <w:abstractNumId w:val="11"/>
  </w:num>
  <w:num w:numId="7">
    <w:abstractNumId w:val="7"/>
  </w:num>
  <w:num w:numId="8">
    <w:abstractNumId w:val="10"/>
  </w:num>
  <w:num w:numId="9">
    <w:abstractNumId w:val="24"/>
  </w:num>
  <w:num w:numId="10">
    <w:abstractNumId w:val="3"/>
  </w:num>
  <w:num w:numId="11">
    <w:abstractNumId w:val="21"/>
  </w:num>
  <w:num w:numId="12">
    <w:abstractNumId w:val="22"/>
  </w:num>
  <w:num w:numId="13">
    <w:abstractNumId w:val="18"/>
  </w:num>
  <w:num w:numId="14">
    <w:abstractNumId w:val="19"/>
  </w:num>
  <w:num w:numId="15">
    <w:abstractNumId w:val="13"/>
  </w:num>
  <w:num w:numId="16">
    <w:abstractNumId w:val="23"/>
  </w:num>
  <w:num w:numId="17">
    <w:abstractNumId w:val="25"/>
  </w:num>
  <w:num w:numId="18">
    <w:abstractNumId w:val="4"/>
  </w:num>
  <w:num w:numId="19">
    <w:abstractNumId w:val="14"/>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
  </w:num>
  <w:num w:numId="23">
    <w:abstractNumId w:val="15"/>
  </w:num>
  <w:num w:numId="24">
    <w:abstractNumId w:val="8"/>
  </w:num>
  <w:num w:numId="25">
    <w:abstractNumId w:val="20"/>
  </w:num>
  <w:num w:numId="26">
    <w:abstractNumId w:val="16"/>
  </w:num>
  <w:num w:numId="27">
    <w:abstractNumId w:val="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13B"/>
    <w:rsid w:val="00003D2C"/>
    <w:rsid w:val="00004A1F"/>
    <w:rsid w:val="0000680A"/>
    <w:rsid w:val="00010BF5"/>
    <w:rsid w:val="00014463"/>
    <w:rsid w:val="00014B9D"/>
    <w:rsid w:val="00016EB0"/>
    <w:rsid w:val="000178FB"/>
    <w:rsid w:val="00031CF9"/>
    <w:rsid w:val="000349F9"/>
    <w:rsid w:val="000363C1"/>
    <w:rsid w:val="00036D14"/>
    <w:rsid w:val="00040673"/>
    <w:rsid w:val="0004455E"/>
    <w:rsid w:val="000613DE"/>
    <w:rsid w:val="0006646B"/>
    <w:rsid w:val="0007018E"/>
    <w:rsid w:val="0007227A"/>
    <w:rsid w:val="0007436B"/>
    <w:rsid w:val="000748DB"/>
    <w:rsid w:val="00074A75"/>
    <w:rsid w:val="00080261"/>
    <w:rsid w:val="0008330E"/>
    <w:rsid w:val="0009701B"/>
    <w:rsid w:val="0009733F"/>
    <w:rsid w:val="000978B9"/>
    <w:rsid w:val="000A4930"/>
    <w:rsid w:val="000A6579"/>
    <w:rsid w:val="000B2DEE"/>
    <w:rsid w:val="000B339E"/>
    <w:rsid w:val="000B4894"/>
    <w:rsid w:val="000B48C2"/>
    <w:rsid w:val="000B6270"/>
    <w:rsid w:val="000B65A7"/>
    <w:rsid w:val="000C2B1A"/>
    <w:rsid w:val="000C38A5"/>
    <w:rsid w:val="000D19F9"/>
    <w:rsid w:val="000E3A06"/>
    <w:rsid w:val="000E674F"/>
    <w:rsid w:val="000E7CAE"/>
    <w:rsid w:val="000F15AB"/>
    <w:rsid w:val="000F29A5"/>
    <w:rsid w:val="000F3318"/>
    <w:rsid w:val="000F4EF4"/>
    <w:rsid w:val="001070CD"/>
    <w:rsid w:val="00114BF8"/>
    <w:rsid w:val="001171A7"/>
    <w:rsid w:val="0012172C"/>
    <w:rsid w:val="00121907"/>
    <w:rsid w:val="0012581F"/>
    <w:rsid w:val="00132878"/>
    <w:rsid w:val="00140EA3"/>
    <w:rsid w:val="00141C30"/>
    <w:rsid w:val="001471B0"/>
    <w:rsid w:val="001503C7"/>
    <w:rsid w:val="001505CD"/>
    <w:rsid w:val="001515BA"/>
    <w:rsid w:val="00153FD0"/>
    <w:rsid w:val="0015420C"/>
    <w:rsid w:val="00157A73"/>
    <w:rsid w:val="00157B6C"/>
    <w:rsid w:val="00157F67"/>
    <w:rsid w:val="00160BDB"/>
    <w:rsid w:val="00163B63"/>
    <w:rsid w:val="00167ADE"/>
    <w:rsid w:val="00171ED5"/>
    <w:rsid w:val="001720CE"/>
    <w:rsid w:val="0019003A"/>
    <w:rsid w:val="00194643"/>
    <w:rsid w:val="001A0141"/>
    <w:rsid w:val="001A195A"/>
    <w:rsid w:val="001B275F"/>
    <w:rsid w:val="001B3BD0"/>
    <w:rsid w:val="001B75DF"/>
    <w:rsid w:val="001C2B41"/>
    <w:rsid w:val="001C33B7"/>
    <w:rsid w:val="001D05F2"/>
    <w:rsid w:val="001D0B9B"/>
    <w:rsid w:val="001D1B1F"/>
    <w:rsid w:val="001E43BD"/>
    <w:rsid w:val="001E79C6"/>
    <w:rsid w:val="001F2210"/>
    <w:rsid w:val="001F6FD8"/>
    <w:rsid w:val="00206711"/>
    <w:rsid w:val="002123C9"/>
    <w:rsid w:val="00213E3D"/>
    <w:rsid w:val="00216F02"/>
    <w:rsid w:val="00217BD2"/>
    <w:rsid w:val="00225364"/>
    <w:rsid w:val="00231CD3"/>
    <w:rsid w:val="00232F6B"/>
    <w:rsid w:val="0023404C"/>
    <w:rsid w:val="00235110"/>
    <w:rsid w:val="00241716"/>
    <w:rsid w:val="0024319C"/>
    <w:rsid w:val="0024586D"/>
    <w:rsid w:val="002463EC"/>
    <w:rsid w:val="00246650"/>
    <w:rsid w:val="00257EB1"/>
    <w:rsid w:val="00262E06"/>
    <w:rsid w:val="002633F0"/>
    <w:rsid w:val="0026468F"/>
    <w:rsid w:val="00267AC0"/>
    <w:rsid w:val="002700D6"/>
    <w:rsid w:val="002724F4"/>
    <w:rsid w:val="00273C5D"/>
    <w:rsid w:val="002745DB"/>
    <w:rsid w:val="00274824"/>
    <w:rsid w:val="0027654A"/>
    <w:rsid w:val="0027750C"/>
    <w:rsid w:val="00277F4A"/>
    <w:rsid w:val="00280015"/>
    <w:rsid w:val="00286A84"/>
    <w:rsid w:val="00287544"/>
    <w:rsid w:val="00287CF3"/>
    <w:rsid w:val="00292643"/>
    <w:rsid w:val="002973A4"/>
    <w:rsid w:val="002A314D"/>
    <w:rsid w:val="002A56C2"/>
    <w:rsid w:val="002B1DC2"/>
    <w:rsid w:val="002B2137"/>
    <w:rsid w:val="002B2F0B"/>
    <w:rsid w:val="002C7F19"/>
    <w:rsid w:val="002D2766"/>
    <w:rsid w:val="002D6AA4"/>
    <w:rsid w:val="002E2A78"/>
    <w:rsid w:val="002E3E39"/>
    <w:rsid w:val="002E3F36"/>
    <w:rsid w:val="002E4B02"/>
    <w:rsid w:val="002F0C1E"/>
    <w:rsid w:val="002F265A"/>
    <w:rsid w:val="002F5166"/>
    <w:rsid w:val="002F7E50"/>
    <w:rsid w:val="0030215A"/>
    <w:rsid w:val="0030246C"/>
    <w:rsid w:val="00303458"/>
    <w:rsid w:val="00304AE7"/>
    <w:rsid w:val="00310671"/>
    <w:rsid w:val="00313048"/>
    <w:rsid w:val="00322968"/>
    <w:rsid w:val="003245DF"/>
    <w:rsid w:val="003340E0"/>
    <w:rsid w:val="00335155"/>
    <w:rsid w:val="00337F8F"/>
    <w:rsid w:val="0034512C"/>
    <w:rsid w:val="003474DA"/>
    <w:rsid w:val="0035420E"/>
    <w:rsid w:val="003634DF"/>
    <w:rsid w:val="003635EE"/>
    <w:rsid w:val="003637F0"/>
    <w:rsid w:val="00364373"/>
    <w:rsid w:val="003659B9"/>
    <w:rsid w:val="00365C25"/>
    <w:rsid w:val="00367DF1"/>
    <w:rsid w:val="00370D79"/>
    <w:rsid w:val="00374F0B"/>
    <w:rsid w:val="003759B0"/>
    <w:rsid w:val="00376839"/>
    <w:rsid w:val="00377F62"/>
    <w:rsid w:val="00381E57"/>
    <w:rsid w:val="00384592"/>
    <w:rsid w:val="00385588"/>
    <w:rsid w:val="00386D57"/>
    <w:rsid w:val="003871C5"/>
    <w:rsid w:val="003973D8"/>
    <w:rsid w:val="003A011E"/>
    <w:rsid w:val="003A14F9"/>
    <w:rsid w:val="003A4A16"/>
    <w:rsid w:val="003A5416"/>
    <w:rsid w:val="003A68A7"/>
    <w:rsid w:val="003B1DA9"/>
    <w:rsid w:val="003B525B"/>
    <w:rsid w:val="003B79D0"/>
    <w:rsid w:val="003B7F74"/>
    <w:rsid w:val="003C4B37"/>
    <w:rsid w:val="003D0489"/>
    <w:rsid w:val="003D081E"/>
    <w:rsid w:val="003D6178"/>
    <w:rsid w:val="003D6532"/>
    <w:rsid w:val="003D79E5"/>
    <w:rsid w:val="003E2FD4"/>
    <w:rsid w:val="003E5462"/>
    <w:rsid w:val="003E54E3"/>
    <w:rsid w:val="003E5E6B"/>
    <w:rsid w:val="003E5E9A"/>
    <w:rsid w:val="003F1A4C"/>
    <w:rsid w:val="003F1B31"/>
    <w:rsid w:val="003F1FD4"/>
    <w:rsid w:val="003F543C"/>
    <w:rsid w:val="003F553E"/>
    <w:rsid w:val="003F5882"/>
    <w:rsid w:val="003F613B"/>
    <w:rsid w:val="00400D28"/>
    <w:rsid w:val="00401035"/>
    <w:rsid w:val="00405552"/>
    <w:rsid w:val="004062E3"/>
    <w:rsid w:val="004302DF"/>
    <w:rsid w:val="004308E7"/>
    <w:rsid w:val="00440673"/>
    <w:rsid w:val="00443A7E"/>
    <w:rsid w:val="00446904"/>
    <w:rsid w:val="00446A82"/>
    <w:rsid w:val="00452857"/>
    <w:rsid w:val="00456464"/>
    <w:rsid w:val="00462BCC"/>
    <w:rsid w:val="00463759"/>
    <w:rsid w:val="00464BAD"/>
    <w:rsid w:val="00465B45"/>
    <w:rsid w:val="004715DE"/>
    <w:rsid w:val="00472597"/>
    <w:rsid w:val="00473F93"/>
    <w:rsid w:val="00482671"/>
    <w:rsid w:val="0048612D"/>
    <w:rsid w:val="00490804"/>
    <w:rsid w:val="00492C6E"/>
    <w:rsid w:val="0049569F"/>
    <w:rsid w:val="00497D16"/>
    <w:rsid w:val="004A04B4"/>
    <w:rsid w:val="004A0661"/>
    <w:rsid w:val="004A248C"/>
    <w:rsid w:val="004A3D6F"/>
    <w:rsid w:val="004A5D36"/>
    <w:rsid w:val="004B04BC"/>
    <w:rsid w:val="004B051A"/>
    <w:rsid w:val="004B0D24"/>
    <w:rsid w:val="004B7CDA"/>
    <w:rsid w:val="004C7A7B"/>
    <w:rsid w:val="004F1927"/>
    <w:rsid w:val="004F1ACD"/>
    <w:rsid w:val="004F221B"/>
    <w:rsid w:val="004F60FB"/>
    <w:rsid w:val="00512A62"/>
    <w:rsid w:val="0051729A"/>
    <w:rsid w:val="005178C0"/>
    <w:rsid w:val="00521B56"/>
    <w:rsid w:val="005227FA"/>
    <w:rsid w:val="00522C35"/>
    <w:rsid w:val="0052611B"/>
    <w:rsid w:val="00530E10"/>
    <w:rsid w:val="0053107D"/>
    <w:rsid w:val="00537A73"/>
    <w:rsid w:val="00540A42"/>
    <w:rsid w:val="005414C3"/>
    <w:rsid w:val="00541506"/>
    <w:rsid w:val="00544DD7"/>
    <w:rsid w:val="00554CB3"/>
    <w:rsid w:val="005564A3"/>
    <w:rsid w:val="005615A2"/>
    <w:rsid w:val="00563730"/>
    <w:rsid w:val="00566EBF"/>
    <w:rsid w:val="005769BE"/>
    <w:rsid w:val="00576B54"/>
    <w:rsid w:val="00576B79"/>
    <w:rsid w:val="00582E76"/>
    <w:rsid w:val="0058338B"/>
    <w:rsid w:val="00584853"/>
    <w:rsid w:val="00586FC3"/>
    <w:rsid w:val="00587E42"/>
    <w:rsid w:val="00590ED9"/>
    <w:rsid w:val="00594FAF"/>
    <w:rsid w:val="00597934"/>
    <w:rsid w:val="005A1599"/>
    <w:rsid w:val="005A231F"/>
    <w:rsid w:val="005A2DDF"/>
    <w:rsid w:val="005A427F"/>
    <w:rsid w:val="005B2CD5"/>
    <w:rsid w:val="005C5B44"/>
    <w:rsid w:val="005D1112"/>
    <w:rsid w:val="005D1237"/>
    <w:rsid w:val="005D32FB"/>
    <w:rsid w:val="005D75C1"/>
    <w:rsid w:val="005E3D3A"/>
    <w:rsid w:val="005E462D"/>
    <w:rsid w:val="005E5B2C"/>
    <w:rsid w:val="005E5F62"/>
    <w:rsid w:val="005E63B1"/>
    <w:rsid w:val="005E6A5E"/>
    <w:rsid w:val="005E7A45"/>
    <w:rsid w:val="005F15D7"/>
    <w:rsid w:val="005F5231"/>
    <w:rsid w:val="0061185F"/>
    <w:rsid w:val="00617EDC"/>
    <w:rsid w:val="00620450"/>
    <w:rsid w:val="006233F5"/>
    <w:rsid w:val="00623904"/>
    <w:rsid w:val="006259DA"/>
    <w:rsid w:val="00625C6B"/>
    <w:rsid w:val="00632DDA"/>
    <w:rsid w:val="0063793D"/>
    <w:rsid w:val="00641ACA"/>
    <w:rsid w:val="006430B4"/>
    <w:rsid w:val="00643AF7"/>
    <w:rsid w:val="00651B86"/>
    <w:rsid w:val="00654BF1"/>
    <w:rsid w:val="006553AD"/>
    <w:rsid w:val="00655C05"/>
    <w:rsid w:val="0065735D"/>
    <w:rsid w:val="00660912"/>
    <w:rsid w:val="00665B4A"/>
    <w:rsid w:val="00666A42"/>
    <w:rsid w:val="006736DF"/>
    <w:rsid w:val="00682239"/>
    <w:rsid w:val="006823F1"/>
    <w:rsid w:val="0068365C"/>
    <w:rsid w:val="00683B2B"/>
    <w:rsid w:val="00684A3B"/>
    <w:rsid w:val="006868EF"/>
    <w:rsid w:val="00687E0A"/>
    <w:rsid w:val="00695D04"/>
    <w:rsid w:val="0069649A"/>
    <w:rsid w:val="006A054E"/>
    <w:rsid w:val="006A0A45"/>
    <w:rsid w:val="006A537D"/>
    <w:rsid w:val="006A61EE"/>
    <w:rsid w:val="006B0038"/>
    <w:rsid w:val="006B1F52"/>
    <w:rsid w:val="006B4D0C"/>
    <w:rsid w:val="006C34F0"/>
    <w:rsid w:val="006D018D"/>
    <w:rsid w:val="006D5C5D"/>
    <w:rsid w:val="006D5CC3"/>
    <w:rsid w:val="006E06DB"/>
    <w:rsid w:val="006E1DEB"/>
    <w:rsid w:val="006E2952"/>
    <w:rsid w:val="006E2D50"/>
    <w:rsid w:val="006E7604"/>
    <w:rsid w:val="006F2758"/>
    <w:rsid w:val="006F34A0"/>
    <w:rsid w:val="006F65A7"/>
    <w:rsid w:val="006F6E93"/>
    <w:rsid w:val="00702221"/>
    <w:rsid w:val="00713BF3"/>
    <w:rsid w:val="0072160C"/>
    <w:rsid w:val="007243D5"/>
    <w:rsid w:val="007258CB"/>
    <w:rsid w:val="007279F5"/>
    <w:rsid w:val="00732E57"/>
    <w:rsid w:val="0073351D"/>
    <w:rsid w:val="00733B09"/>
    <w:rsid w:val="0073508A"/>
    <w:rsid w:val="00740108"/>
    <w:rsid w:val="00740588"/>
    <w:rsid w:val="00743A0D"/>
    <w:rsid w:val="007467E7"/>
    <w:rsid w:val="00754ED9"/>
    <w:rsid w:val="007552B0"/>
    <w:rsid w:val="0075792E"/>
    <w:rsid w:val="00760462"/>
    <w:rsid w:val="0076093F"/>
    <w:rsid w:val="00765AEA"/>
    <w:rsid w:val="0077113C"/>
    <w:rsid w:val="00782945"/>
    <w:rsid w:val="00782E1B"/>
    <w:rsid w:val="00795399"/>
    <w:rsid w:val="007A04AF"/>
    <w:rsid w:val="007A417D"/>
    <w:rsid w:val="007B0C94"/>
    <w:rsid w:val="007B6E40"/>
    <w:rsid w:val="007C1488"/>
    <w:rsid w:val="007C22F8"/>
    <w:rsid w:val="007C3BF1"/>
    <w:rsid w:val="007C41A6"/>
    <w:rsid w:val="007C4650"/>
    <w:rsid w:val="007D0FA8"/>
    <w:rsid w:val="007D37CA"/>
    <w:rsid w:val="007D7D12"/>
    <w:rsid w:val="007E276A"/>
    <w:rsid w:val="007E2B52"/>
    <w:rsid w:val="007E3940"/>
    <w:rsid w:val="007F06B2"/>
    <w:rsid w:val="007F184F"/>
    <w:rsid w:val="007F1C62"/>
    <w:rsid w:val="00810A3E"/>
    <w:rsid w:val="00811F27"/>
    <w:rsid w:val="00815EC1"/>
    <w:rsid w:val="0082000A"/>
    <w:rsid w:val="00823C21"/>
    <w:rsid w:val="00824925"/>
    <w:rsid w:val="00824B1C"/>
    <w:rsid w:val="00830B5C"/>
    <w:rsid w:val="008509B7"/>
    <w:rsid w:val="00852936"/>
    <w:rsid w:val="008529B7"/>
    <w:rsid w:val="00857B27"/>
    <w:rsid w:val="00861AB8"/>
    <w:rsid w:val="00863FC8"/>
    <w:rsid w:val="00864A4D"/>
    <w:rsid w:val="00865455"/>
    <w:rsid w:val="0086613D"/>
    <w:rsid w:val="00866BF7"/>
    <w:rsid w:val="00867578"/>
    <w:rsid w:val="0087217F"/>
    <w:rsid w:val="00877B4E"/>
    <w:rsid w:val="00881973"/>
    <w:rsid w:val="00882691"/>
    <w:rsid w:val="00885AAD"/>
    <w:rsid w:val="008868B9"/>
    <w:rsid w:val="00886D5C"/>
    <w:rsid w:val="00887B81"/>
    <w:rsid w:val="00891391"/>
    <w:rsid w:val="00891542"/>
    <w:rsid w:val="00894C30"/>
    <w:rsid w:val="0089659F"/>
    <w:rsid w:val="008A1AEB"/>
    <w:rsid w:val="008A7ECA"/>
    <w:rsid w:val="008B0D13"/>
    <w:rsid w:val="008B2ED2"/>
    <w:rsid w:val="008B36C8"/>
    <w:rsid w:val="008B4E09"/>
    <w:rsid w:val="008B6A15"/>
    <w:rsid w:val="008B7008"/>
    <w:rsid w:val="008B7166"/>
    <w:rsid w:val="008B7AC7"/>
    <w:rsid w:val="008C470C"/>
    <w:rsid w:val="008C577E"/>
    <w:rsid w:val="008D0561"/>
    <w:rsid w:val="008D4D1A"/>
    <w:rsid w:val="008D5B82"/>
    <w:rsid w:val="008D75CD"/>
    <w:rsid w:val="008D797D"/>
    <w:rsid w:val="008E0D67"/>
    <w:rsid w:val="008F3515"/>
    <w:rsid w:val="008F69DB"/>
    <w:rsid w:val="00900233"/>
    <w:rsid w:val="00900501"/>
    <w:rsid w:val="00900BE8"/>
    <w:rsid w:val="00901275"/>
    <w:rsid w:val="00901849"/>
    <w:rsid w:val="00902380"/>
    <w:rsid w:val="00903056"/>
    <w:rsid w:val="00910C59"/>
    <w:rsid w:val="009124E2"/>
    <w:rsid w:val="0091435E"/>
    <w:rsid w:val="00922F13"/>
    <w:rsid w:val="0092564C"/>
    <w:rsid w:val="009273DD"/>
    <w:rsid w:val="00935724"/>
    <w:rsid w:val="0093578A"/>
    <w:rsid w:val="009376A5"/>
    <w:rsid w:val="009424A2"/>
    <w:rsid w:val="009444EE"/>
    <w:rsid w:val="00950931"/>
    <w:rsid w:val="00951182"/>
    <w:rsid w:val="0095532D"/>
    <w:rsid w:val="009641B5"/>
    <w:rsid w:val="00965134"/>
    <w:rsid w:val="00965E38"/>
    <w:rsid w:val="00970E01"/>
    <w:rsid w:val="00971CE0"/>
    <w:rsid w:val="00972483"/>
    <w:rsid w:val="00972E36"/>
    <w:rsid w:val="00973B90"/>
    <w:rsid w:val="00975586"/>
    <w:rsid w:val="00980C3A"/>
    <w:rsid w:val="00984B0E"/>
    <w:rsid w:val="00985306"/>
    <w:rsid w:val="00987630"/>
    <w:rsid w:val="00987ECE"/>
    <w:rsid w:val="009A70C3"/>
    <w:rsid w:val="009B5FC9"/>
    <w:rsid w:val="009B760E"/>
    <w:rsid w:val="009C0C95"/>
    <w:rsid w:val="009C1B56"/>
    <w:rsid w:val="009C6740"/>
    <w:rsid w:val="009C705C"/>
    <w:rsid w:val="009C794D"/>
    <w:rsid w:val="009D24B1"/>
    <w:rsid w:val="009D4AB8"/>
    <w:rsid w:val="009D7729"/>
    <w:rsid w:val="009E61A1"/>
    <w:rsid w:val="009E772C"/>
    <w:rsid w:val="009F5134"/>
    <w:rsid w:val="009F7264"/>
    <w:rsid w:val="009F7287"/>
    <w:rsid w:val="00A00B4E"/>
    <w:rsid w:val="00A01E59"/>
    <w:rsid w:val="00A0570F"/>
    <w:rsid w:val="00A07205"/>
    <w:rsid w:val="00A116AB"/>
    <w:rsid w:val="00A132D6"/>
    <w:rsid w:val="00A156C3"/>
    <w:rsid w:val="00A15E70"/>
    <w:rsid w:val="00A15ED8"/>
    <w:rsid w:val="00A16A1E"/>
    <w:rsid w:val="00A17980"/>
    <w:rsid w:val="00A32D08"/>
    <w:rsid w:val="00A32ECB"/>
    <w:rsid w:val="00A33BEF"/>
    <w:rsid w:val="00A41096"/>
    <w:rsid w:val="00A4366E"/>
    <w:rsid w:val="00A43F56"/>
    <w:rsid w:val="00A45333"/>
    <w:rsid w:val="00A467B1"/>
    <w:rsid w:val="00A46A0A"/>
    <w:rsid w:val="00A50AA6"/>
    <w:rsid w:val="00A50DFA"/>
    <w:rsid w:val="00A57446"/>
    <w:rsid w:val="00A60946"/>
    <w:rsid w:val="00A6290A"/>
    <w:rsid w:val="00A667FB"/>
    <w:rsid w:val="00A6751D"/>
    <w:rsid w:val="00A676AF"/>
    <w:rsid w:val="00A677F8"/>
    <w:rsid w:val="00A67EFF"/>
    <w:rsid w:val="00A73F10"/>
    <w:rsid w:val="00A750C0"/>
    <w:rsid w:val="00A77403"/>
    <w:rsid w:val="00A844C6"/>
    <w:rsid w:val="00A86D92"/>
    <w:rsid w:val="00A933B9"/>
    <w:rsid w:val="00A95C68"/>
    <w:rsid w:val="00AA7405"/>
    <w:rsid w:val="00AB0433"/>
    <w:rsid w:val="00AB450C"/>
    <w:rsid w:val="00AD3E95"/>
    <w:rsid w:val="00AD40D9"/>
    <w:rsid w:val="00AD6086"/>
    <w:rsid w:val="00AD7474"/>
    <w:rsid w:val="00AE061F"/>
    <w:rsid w:val="00AE0D76"/>
    <w:rsid w:val="00AE27C1"/>
    <w:rsid w:val="00AE2947"/>
    <w:rsid w:val="00AE3D3F"/>
    <w:rsid w:val="00AE3EFC"/>
    <w:rsid w:val="00AE5360"/>
    <w:rsid w:val="00AF79CD"/>
    <w:rsid w:val="00B00FBA"/>
    <w:rsid w:val="00B014BA"/>
    <w:rsid w:val="00B01996"/>
    <w:rsid w:val="00B054D0"/>
    <w:rsid w:val="00B075EC"/>
    <w:rsid w:val="00B10410"/>
    <w:rsid w:val="00B10649"/>
    <w:rsid w:val="00B1104F"/>
    <w:rsid w:val="00B11572"/>
    <w:rsid w:val="00B11A6F"/>
    <w:rsid w:val="00B175DB"/>
    <w:rsid w:val="00B17F1E"/>
    <w:rsid w:val="00B2438D"/>
    <w:rsid w:val="00B25737"/>
    <w:rsid w:val="00B258E3"/>
    <w:rsid w:val="00B25BE3"/>
    <w:rsid w:val="00B263FF"/>
    <w:rsid w:val="00B31356"/>
    <w:rsid w:val="00B322C5"/>
    <w:rsid w:val="00B36B23"/>
    <w:rsid w:val="00B373DB"/>
    <w:rsid w:val="00B401F8"/>
    <w:rsid w:val="00B415BB"/>
    <w:rsid w:val="00B46831"/>
    <w:rsid w:val="00B46F99"/>
    <w:rsid w:val="00B537A2"/>
    <w:rsid w:val="00B54661"/>
    <w:rsid w:val="00B56923"/>
    <w:rsid w:val="00B56D1B"/>
    <w:rsid w:val="00B62FEE"/>
    <w:rsid w:val="00B663A9"/>
    <w:rsid w:val="00B66675"/>
    <w:rsid w:val="00B67E23"/>
    <w:rsid w:val="00B74653"/>
    <w:rsid w:val="00B823C6"/>
    <w:rsid w:val="00B839B8"/>
    <w:rsid w:val="00B842B6"/>
    <w:rsid w:val="00B949EB"/>
    <w:rsid w:val="00B94F94"/>
    <w:rsid w:val="00B95C34"/>
    <w:rsid w:val="00BA1484"/>
    <w:rsid w:val="00BA2143"/>
    <w:rsid w:val="00BA3076"/>
    <w:rsid w:val="00BA3836"/>
    <w:rsid w:val="00BA396F"/>
    <w:rsid w:val="00BA3E7A"/>
    <w:rsid w:val="00BA4A1D"/>
    <w:rsid w:val="00BA5B62"/>
    <w:rsid w:val="00BB33C6"/>
    <w:rsid w:val="00BB44E6"/>
    <w:rsid w:val="00BC6098"/>
    <w:rsid w:val="00BD0BD1"/>
    <w:rsid w:val="00BD4F8C"/>
    <w:rsid w:val="00BD5840"/>
    <w:rsid w:val="00BD7E56"/>
    <w:rsid w:val="00BE061C"/>
    <w:rsid w:val="00BE1EA6"/>
    <w:rsid w:val="00BE460E"/>
    <w:rsid w:val="00BF0165"/>
    <w:rsid w:val="00BF1734"/>
    <w:rsid w:val="00BF44FF"/>
    <w:rsid w:val="00BF469A"/>
    <w:rsid w:val="00C004AD"/>
    <w:rsid w:val="00C00656"/>
    <w:rsid w:val="00C03547"/>
    <w:rsid w:val="00C06CA2"/>
    <w:rsid w:val="00C11961"/>
    <w:rsid w:val="00C11F71"/>
    <w:rsid w:val="00C1586C"/>
    <w:rsid w:val="00C15B4C"/>
    <w:rsid w:val="00C16715"/>
    <w:rsid w:val="00C20125"/>
    <w:rsid w:val="00C22EE9"/>
    <w:rsid w:val="00C249F9"/>
    <w:rsid w:val="00C24C2C"/>
    <w:rsid w:val="00C252BC"/>
    <w:rsid w:val="00C25D83"/>
    <w:rsid w:val="00C30108"/>
    <w:rsid w:val="00C3350C"/>
    <w:rsid w:val="00C36F39"/>
    <w:rsid w:val="00C42D75"/>
    <w:rsid w:val="00C50461"/>
    <w:rsid w:val="00C50CFA"/>
    <w:rsid w:val="00C5381C"/>
    <w:rsid w:val="00C5516B"/>
    <w:rsid w:val="00C55E80"/>
    <w:rsid w:val="00C65B91"/>
    <w:rsid w:val="00C710E2"/>
    <w:rsid w:val="00C71453"/>
    <w:rsid w:val="00C722F0"/>
    <w:rsid w:val="00C72690"/>
    <w:rsid w:val="00C72D95"/>
    <w:rsid w:val="00C72E88"/>
    <w:rsid w:val="00C74F91"/>
    <w:rsid w:val="00C75EDF"/>
    <w:rsid w:val="00C80B5F"/>
    <w:rsid w:val="00C81BA4"/>
    <w:rsid w:val="00C84F47"/>
    <w:rsid w:val="00C86E16"/>
    <w:rsid w:val="00C879F0"/>
    <w:rsid w:val="00C90397"/>
    <w:rsid w:val="00C92149"/>
    <w:rsid w:val="00C95690"/>
    <w:rsid w:val="00C96416"/>
    <w:rsid w:val="00CA20D6"/>
    <w:rsid w:val="00CA57B1"/>
    <w:rsid w:val="00CB0835"/>
    <w:rsid w:val="00CB64FF"/>
    <w:rsid w:val="00CB6A59"/>
    <w:rsid w:val="00CB6C18"/>
    <w:rsid w:val="00CC06BF"/>
    <w:rsid w:val="00CC2C70"/>
    <w:rsid w:val="00CC513C"/>
    <w:rsid w:val="00CD0703"/>
    <w:rsid w:val="00CD3867"/>
    <w:rsid w:val="00CD3B78"/>
    <w:rsid w:val="00CD6EE5"/>
    <w:rsid w:val="00CD711F"/>
    <w:rsid w:val="00CD7F39"/>
    <w:rsid w:val="00CE2FE5"/>
    <w:rsid w:val="00CE58B0"/>
    <w:rsid w:val="00CE68F3"/>
    <w:rsid w:val="00CF421B"/>
    <w:rsid w:val="00CF60A4"/>
    <w:rsid w:val="00D04409"/>
    <w:rsid w:val="00D06048"/>
    <w:rsid w:val="00D06B5C"/>
    <w:rsid w:val="00D13263"/>
    <w:rsid w:val="00D1438B"/>
    <w:rsid w:val="00D16BD7"/>
    <w:rsid w:val="00D213C0"/>
    <w:rsid w:val="00D24CE0"/>
    <w:rsid w:val="00D25065"/>
    <w:rsid w:val="00D26B6A"/>
    <w:rsid w:val="00D30BB6"/>
    <w:rsid w:val="00D31531"/>
    <w:rsid w:val="00D31582"/>
    <w:rsid w:val="00D329BE"/>
    <w:rsid w:val="00D3356B"/>
    <w:rsid w:val="00D33737"/>
    <w:rsid w:val="00D3467A"/>
    <w:rsid w:val="00D36685"/>
    <w:rsid w:val="00D36FBD"/>
    <w:rsid w:val="00D41D8B"/>
    <w:rsid w:val="00D4402B"/>
    <w:rsid w:val="00D44261"/>
    <w:rsid w:val="00D45AB2"/>
    <w:rsid w:val="00D46C86"/>
    <w:rsid w:val="00D606E1"/>
    <w:rsid w:val="00D76B57"/>
    <w:rsid w:val="00D77F2B"/>
    <w:rsid w:val="00D8162B"/>
    <w:rsid w:val="00D83F36"/>
    <w:rsid w:val="00D85BE1"/>
    <w:rsid w:val="00D951B0"/>
    <w:rsid w:val="00D95CBF"/>
    <w:rsid w:val="00D96484"/>
    <w:rsid w:val="00D966FF"/>
    <w:rsid w:val="00DA5269"/>
    <w:rsid w:val="00DB057F"/>
    <w:rsid w:val="00DB0B31"/>
    <w:rsid w:val="00DB55CB"/>
    <w:rsid w:val="00DB7C82"/>
    <w:rsid w:val="00DC0EEC"/>
    <w:rsid w:val="00DC2E5E"/>
    <w:rsid w:val="00DC54CB"/>
    <w:rsid w:val="00DD2FEB"/>
    <w:rsid w:val="00DD3BFE"/>
    <w:rsid w:val="00DD707C"/>
    <w:rsid w:val="00DD767F"/>
    <w:rsid w:val="00DE2351"/>
    <w:rsid w:val="00DE28AD"/>
    <w:rsid w:val="00DE6AB1"/>
    <w:rsid w:val="00DE7936"/>
    <w:rsid w:val="00DF0599"/>
    <w:rsid w:val="00DF0DE6"/>
    <w:rsid w:val="00DF18C3"/>
    <w:rsid w:val="00DF29FE"/>
    <w:rsid w:val="00DF3E75"/>
    <w:rsid w:val="00DF4562"/>
    <w:rsid w:val="00DF5D24"/>
    <w:rsid w:val="00DF6F17"/>
    <w:rsid w:val="00E00C36"/>
    <w:rsid w:val="00E028A4"/>
    <w:rsid w:val="00E02D8B"/>
    <w:rsid w:val="00E04226"/>
    <w:rsid w:val="00E0704C"/>
    <w:rsid w:val="00E10AA2"/>
    <w:rsid w:val="00E12441"/>
    <w:rsid w:val="00E12C3D"/>
    <w:rsid w:val="00E30FC7"/>
    <w:rsid w:val="00E337F9"/>
    <w:rsid w:val="00E33B8F"/>
    <w:rsid w:val="00E40D96"/>
    <w:rsid w:val="00E40FCA"/>
    <w:rsid w:val="00E46418"/>
    <w:rsid w:val="00E536A6"/>
    <w:rsid w:val="00E56DA1"/>
    <w:rsid w:val="00E611C4"/>
    <w:rsid w:val="00E63BB5"/>
    <w:rsid w:val="00E64F4D"/>
    <w:rsid w:val="00E700A7"/>
    <w:rsid w:val="00E753AE"/>
    <w:rsid w:val="00E76C59"/>
    <w:rsid w:val="00E81986"/>
    <w:rsid w:val="00E83ED6"/>
    <w:rsid w:val="00E85578"/>
    <w:rsid w:val="00EA5733"/>
    <w:rsid w:val="00EA7D0C"/>
    <w:rsid w:val="00EB1855"/>
    <w:rsid w:val="00EB3AFF"/>
    <w:rsid w:val="00EB3C28"/>
    <w:rsid w:val="00EC2FF4"/>
    <w:rsid w:val="00EC5796"/>
    <w:rsid w:val="00EC7666"/>
    <w:rsid w:val="00ED1688"/>
    <w:rsid w:val="00ED5303"/>
    <w:rsid w:val="00ED66B4"/>
    <w:rsid w:val="00EE40CC"/>
    <w:rsid w:val="00EE4EDF"/>
    <w:rsid w:val="00EE712B"/>
    <w:rsid w:val="00EF054A"/>
    <w:rsid w:val="00EF13CD"/>
    <w:rsid w:val="00EF1881"/>
    <w:rsid w:val="00EF30E4"/>
    <w:rsid w:val="00EF50BA"/>
    <w:rsid w:val="00EF61F8"/>
    <w:rsid w:val="00F01E69"/>
    <w:rsid w:val="00F02B4D"/>
    <w:rsid w:val="00F03657"/>
    <w:rsid w:val="00F072C8"/>
    <w:rsid w:val="00F1269E"/>
    <w:rsid w:val="00F2269D"/>
    <w:rsid w:val="00F26E34"/>
    <w:rsid w:val="00F26F10"/>
    <w:rsid w:val="00F30EFA"/>
    <w:rsid w:val="00F310B9"/>
    <w:rsid w:val="00F31D95"/>
    <w:rsid w:val="00F3228B"/>
    <w:rsid w:val="00F32EAB"/>
    <w:rsid w:val="00F33778"/>
    <w:rsid w:val="00F34678"/>
    <w:rsid w:val="00F379D4"/>
    <w:rsid w:val="00F40BA2"/>
    <w:rsid w:val="00F430F6"/>
    <w:rsid w:val="00F46249"/>
    <w:rsid w:val="00F47185"/>
    <w:rsid w:val="00F5113F"/>
    <w:rsid w:val="00F51FF7"/>
    <w:rsid w:val="00F567AE"/>
    <w:rsid w:val="00F60DD8"/>
    <w:rsid w:val="00F63278"/>
    <w:rsid w:val="00F6356C"/>
    <w:rsid w:val="00F64E1E"/>
    <w:rsid w:val="00F6673F"/>
    <w:rsid w:val="00F66A7C"/>
    <w:rsid w:val="00F71FEB"/>
    <w:rsid w:val="00F747C1"/>
    <w:rsid w:val="00F752F4"/>
    <w:rsid w:val="00F77422"/>
    <w:rsid w:val="00F7767A"/>
    <w:rsid w:val="00F82186"/>
    <w:rsid w:val="00F821C4"/>
    <w:rsid w:val="00F82372"/>
    <w:rsid w:val="00F84064"/>
    <w:rsid w:val="00F90720"/>
    <w:rsid w:val="00F9085F"/>
    <w:rsid w:val="00F954F6"/>
    <w:rsid w:val="00F96C45"/>
    <w:rsid w:val="00FA5DFB"/>
    <w:rsid w:val="00FB1C8C"/>
    <w:rsid w:val="00FB6260"/>
    <w:rsid w:val="00FC2D20"/>
    <w:rsid w:val="00FC36DC"/>
    <w:rsid w:val="00FC5E2D"/>
    <w:rsid w:val="00FC5F35"/>
    <w:rsid w:val="00FC7FBA"/>
    <w:rsid w:val="00FD260A"/>
    <w:rsid w:val="00FD283E"/>
    <w:rsid w:val="00FD3D18"/>
    <w:rsid w:val="00FE043E"/>
    <w:rsid w:val="00FE7412"/>
    <w:rsid w:val="00FE7D08"/>
    <w:rsid w:val="00FF3F55"/>
    <w:rsid w:val="00FF62F3"/>
    <w:rsid w:val="00FF7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973B90"/>
    <w:rPr>
      <w:rFonts w:ascii="Arial" w:hAnsi="Arial" w:cs="Arial"/>
      <w:szCs w:val="20"/>
    </w:rPr>
  </w:style>
  <w:style w:type="table" w:styleId="TableGrid">
    <w:name w:val="Table Grid"/>
    <w:basedOn w:val="TableNormal"/>
    <w:rsid w:val="00F82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82372"/>
    <w:pPr>
      <w:tabs>
        <w:tab w:val="center" w:pos="4153"/>
        <w:tab w:val="right" w:pos="8306"/>
      </w:tabs>
    </w:pPr>
  </w:style>
  <w:style w:type="character" w:styleId="PageNumber">
    <w:name w:val="page number"/>
    <w:basedOn w:val="DefaultParagraphFont"/>
    <w:rsid w:val="00F82372"/>
  </w:style>
  <w:style w:type="paragraph" w:styleId="BalloonText">
    <w:name w:val="Balloon Text"/>
    <w:basedOn w:val="Normal"/>
    <w:semiHidden/>
    <w:rsid w:val="00F66A7C"/>
    <w:rPr>
      <w:rFonts w:ascii="Tahoma" w:hAnsi="Tahoma" w:cs="Tahoma"/>
      <w:sz w:val="16"/>
      <w:szCs w:val="16"/>
    </w:rPr>
  </w:style>
  <w:style w:type="paragraph" w:styleId="Header">
    <w:name w:val="header"/>
    <w:basedOn w:val="Normal"/>
    <w:rsid w:val="00B263FF"/>
    <w:pPr>
      <w:tabs>
        <w:tab w:val="center" w:pos="4153"/>
        <w:tab w:val="right" w:pos="8306"/>
      </w:tabs>
      <w:jc w:val="both"/>
    </w:pPr>
    <w:rPr>
      <w:rFonts w:ascii="Arial" w:hAnsi="Arial"/>
      <w:szCs w:val="20"/>
      <w:lang w:eastAsia="en-US"/>
    </w:rPr>
  </w:style>
  <w:style w:type="paragraph" w:styleId="DocumentMap">
    <w:name w:val="Document Map"/>
    <w:basedOn w:val="Normal"/>
    <w:semiHidden/>
    <w:rsid w:val="00D26B6A"/>
    <w:pPr>
      <w:shd w:val="clear" w:color="auto" w:fill="000080"/>
    </w:pPr>
    <w:rPr>
      <w:rFonts w:ascii="Tahoma" w:hAnsi="Tahoma" w:cs="Tahoma"/>
      <w:sz w:val="20"/>
      <w:szCs w:val="20"/>
    </w:rPr>
  </w:style>
  <w:style w:type="paragraph" w:styleId="FootnoteText">
    <w:name w:val="footnote text"/>
    <w:basedOn w:val="Normal"/>
    <w:link w:val="FootnoteTextChar"/>
    <w:uiPriority w:val="99"/>
    <w:semiHidden/>
    <w:unhideWhenUsed/>
    <w:rsid w:val="009E772C"/>
    <w:rPr>
      <w:rFonts w:ascii="Calibri" w:hAnsi="Calibri"/>
      <w:sz w:val="20"/>
      <w:szCs w:val="20"/>
    </w:rPr>
  </w:style>
  <w:style w:type="character" w:customStyle="1" w:styleId="FootnoteTextChar">
    <w:name w:val="Footnote Text Char"/>
    <w:link w:val="FootnoteText"/>
    <w:uiPriority w:val="99"/>
    <w:semiHidden/>
    <w:rsid w:val="009E772C"/>
    <w:rPr>
      <w:rFonts w:ascii="Calibri" w:hAnsi="Calibri"/>
    </w:rPr>
  </w:style>
  <w:style w:type="character" w:styleId="FootnoteReference">
    <w:name w:val="footnote reference"/>
    <w:uiPriority w:val="99"/>
    <w:semiHidden/>
    <w:unhideWhenUsed/>
    <w:rsid w:val="009E772C"/>
    <w:rPr>
      <w:vertAlign w:val="superscript"/>
    </w:rPr>
  </w:style>
  <w:style w:type="character" w:styleId="Hyperlink">
    <w:name w:val="Hyperlink"/>
    <w:uiPriority w:val="99"/>
    <w:unhideWhenUsed/>
    <w:rsid w:val="009E772C"/>
    <w:rPr>
      <w:color w:val="0000FF"/>
      <w:u w:val="single"/>
    </w:rPr>
  </w:style>
  <w:style w:type="paragraph" w:styleId="ListParagraph">
    <w:name w:val="List Paragraph"/>
    <w:basedOn w:val="Normal"/>
    <w:uiPriority w:val="34"/>
    <w:qFormat/>
    <w:rsid w:val="009E772C"/>
    <w:pPr>
      <w:ind w:left="720"/>
    </w:pPr>
  </w:style>
  <w:style w:type="character" w:styleId="FollowedHyperlink">
    <w:name w:val="FollowedHyperlink"/>
    <w:uiPriority w:val="99"/>
    <w:semiHidden/>
    <w:unhideWhenUsed/>
    <w:rsid w:val="00DE793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973B90"/>
    <w:rPr>
      <w:rFonts w:ascii="Arial" w:hAnsi="Arial" w:cs="Arial"/>
      <w:szCs w:val="20"/>
    </w:rPr>
  </w:style>
  <w:style w:type="table" w:styleId="TableGrid">
    <w:name w:val="Table Grid"/>
    <w:basedOn w:val="TableNormal"/>
    <w:rsid w:val="00F82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82372"/>
    <w:pPr>
      <w:tabs>
        <w:tab w:val="center" w:pos="4153"/>
        <w:tab w:val="right" w:pos="8306"/>
      </w:tabs>
    </w:pPr>
  </w:style>
  <w:style w:type="character" w:styleId="PageNumber">
    <w:name w:val="page number"/>
    <w:basedOn w:val="DefaultParagraphFont"/>
    <w:rsid w:val="00F82372"/>
  </w:style>
  <w:style w:type="paragraph" w:styleId="BalloonText">
    <w:name w:val="Balloon Text"/>
    <w:basedOn w:val="Normal"/>
    <w:semiHidden/>
    <w:rsid w:val="00F66A7C"/>
    <w:rPr>
      <w:rFonts w:ascii="Tahoma" w:hAnsi="Tahoma" w:cs="Tahoma"/>
      <w:sz w:val="16"/>
      <w:szCs w:val="16"/>
    </w:rPr>
  </w:style>
  <w:style w:type="paragraph" w:styleId="Header">
    <w:name w:val="header"/>
    <w:basedOn w:val="Normal"/>
    <w:rsid w:val="00B263FF"/>
    <w:pPr>
      <w:tabs>
        <w:tab w:val="center" w:pos="4153"/>
        <w:tab w:val="right" w:pos="8306"/>
      </w:tabs>
      <w:jc w:val="both"/>
    </w:pPr>
    <w:rPr>
      <w:rFonts w:ascii="Arial" w:hAnsi="Arial"/>
      <w:szCs w:val="20"/>
      <w:lang w:eastAsia="en-US"/>
    </w:rPr>
  </w:style>
  <w:style w:type="paragraph" w:styleId="DocumentMap">
    <w:name w:val="Document Map"/>
    <w:basedOn w:val="Normal"/>
    <w:semiHidden/>
    <w:rsid w:val="00D26B6A"/>
    <w:pPr>
      <w:shd w:val="clear" w:color="auto" w:fill="000080"/>
    </w:pPr>
    <w:rPr>
      <w:rFonts w:ascii="Tahoma" w:hAnsi="Tahoma" w:cs="Tahoma"/>
      <w:sz w:val="20"/>
      <w:szCs w:val="20"/>
    </w:rPr>
  </w:style>
  <w:style w:type="paragraph" w:styleId="FootnoteText">
    <w:name w:val="footnote text"/>
    <w:basedOn w:val="Normal"/>
    <w:link w:val="FootnoteTextChar"/>
    <w:uiPriority w:val="99"/>
    <w:semiHidden/>
    <w:unhideWhenUsed/>
    <w:rsid w:val="009E772C"/>
    <w:rPr>
      <w:rFonts w:ascii="Calibri" w:hAnsi="Calibri"/>
      <w:sz w:val="20"/>
      <w:szCs w:val="20"/>
    </w:rPr>
  </w:style>
  <w:style w:type="character" w:customStyle="1" w:styleId="FootnoteTextChar">
    <w:name w:val="Footnote Text Char"/>
    <w:link w:val="FootnoteText"/>
    <w:uiPriority w:val="99"/>
    <w:semiHidden/>
    <w:rsid w:val="009E772C"/>
    <w:rPr>
      <w:rFonts w:ascii="Calibri" w:hAnsi="Calibri"/>
    </w:rPr>
  </w:style>
  <w:style w:type="character" w:styleId="FootnoteReference">
    <w:name w:val="footnote reference"/>
    <w:uiPriority w:val="99"/>
    <w:semiHidden/>
    <w:unhideWhenUsed/>
    <w:rsid w:val="009E772C"/>
    <w:rPr>
      <w:vertAlign w:val="superscript"/>
    </w:rPr>
  </w:style>
  <w:style w:type="character" w:styleId="Hyperlink">
    <w:name w:val="Hyperlink"/>
    <w:uiPriority w:val="99"/>
    <w:unhideWhenUsed/>
    <w:rsid w:val="009E772C"/>
    <w:rPr>
      <w:color w:val="0000FF"/>
      <w:u w:val="single"/>
    </w:rPr>
  </w:style>
  <w:style w:type="paragraph" w:styleId="ListParagraph">
    <w:name w:val="List Paragraph"/>
    <w:basedOn w:val="Normal"/>
    <w:uiPriority w:val="34"/>
    <w:qFormat/>
    <w:rsid w:val="009E772C"/>
    <w:pPr>
      <w:ind w:left="720"/>
    </w:pPr>
  </w:style>
  <w:style w:type="character" w:styleId="FollowedHyperlink">
    <w:name w:val="FollowedHyperlink"/>
    <w:uiPriority w:val="99"/>
    <w:semiHidden/>
    <w:unhideWhenUsed/>
    <w:rsid w:val="00DE79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384546">
      <w:bodyDiv w:val="1"/>
      <w:marLeft w:val="0"/>
      <w:marRight w:val="0"/>
      <w:marTop w:val="0"/>
      <w:marBottom w:val="0"/>
      <w:divBdr>
        <w:top w:val="none" w:sz="0" w:space="0" w:color="auto"/>
        <w:left w:val="none" w:sz="0" w:space="0" w:color="auto"/>
        <w:bottom w:val="none" w:sz="0" w:space="0" w:color="auto"/>
        <w:right w:val="none" w:sz="0" w:space="0" w:color="auto"/>
      </w:divBdr>
    </w:div>
    <w:div w:id="812063274">
      <w:bodyDiv w:val="1"/>
      <w:marLeft w:val="0"/>
      <w:marRight w:val="0"/>
      <w:marTop w:val="0"/>
      <w:marBottom w:val="0"/>
      <w:divBdr>
        <w:top w:val="none" w:sz="0" w:space="0" w:color="auto"/>
        <w:left w:val="none" w:sz="0" w:space="0" w:color="auto"/>
        <w:bottom w:val="none" w:sz="0" w:space="0" w:color="auto"/>
        <w:right w:val="none" w:sz="0" w:space="0" w:color="auto"/>
      </w:divBdr>
    </w:div>
    <w:div w:id="937637499">
      <w:bodyDiv w:val="1"/>
      <w:marLeft w:val="0"/>
      <w:marRight w:val="0"/>
      <w:marTop w:val="0"/>
      <w:marBottom w:val="0"/>
      <w:divBdr>
        <w:top w:val="none" w:sz="0" w:space="0" w:color="auto"/>
        <w:left w:val="none" w:sz="0" w:space="0" w:color="auto"/>
        <w:bottom w:val="none" w:sz="0" w:space="0" w:color="auto"/>
        <w:right w:val="none" w:sz="0" w:space="0" w:color="auto"/>
      </w:divBdr>
    </w:div>
    <w:div w:id="1230380060">
      <w:bodyDiv w:val="1"/>
      <w:marLeft w:val="0"/>
      <w:marRight w:val="0"/>
      <w:marTop w:val="0"/>
      <w:marBottom w:val="0"/>
      <w:divBdr>
        <w:top w:val="none" w:sz="0" w:space="0" w:color="auto"/>
        <w:left w:val="none" w:sz="0" w:space="0" w:color="auto"/>
        <w:bottom w:val="none" w:sz="0" w:space="0" w:color="auto"/>
        <w:right w:val="none" w:sz="0" w:space="0" w:color="auto"/>
      </w:divBdr>
    </w:div>
    <w:div w:id="1726640732">
      <w:bodyDiv w:val="1"/>
      <w:marLeft w:val="0"/>
      <w:marRight w:val="0"/>
      <w:marTop w:val="0"/>
      <w:marBottom w:val="0"/>
      <w:divBdr>
        <w:top w:val="none" w:sz="0" w:space="0" w:color="auto"/>
        <w:left w:val="none" w:sz="0" w:space="0" w:color="auto"/>
        <w:bottom w:val="none" w:sz="0" w:space="0" w:color="auto"/>
        <w:right w:val="none" w:sz="0" w:space="0" w:color="auto"/>
      </w:divBdr>
    </w:div>
    <w:div w:id="1924409685">
      <w:bodyDiv w:val="1"/>
      <w:marLeft w:val="0"/>
      <w:marRight w:val="0"/>
      <w:marTop w:val="0"/>
      <w:marBottom w:val="0"/>
      <w:divBdr>
        <w:top w:val="none" w:sz="0" w:space="0" w:color="auto"/>
        <w:left w:val="none" w:sz="0" w:space="0" w:color="auto"/>
        <w:bottom w:val="none" w:sz="0" w:space="0" w:color="auto"/>
        <w:right w:val="none" w:sz="0" w:space="0" w:color="auto"/>
      </w:divBdr>
    </w:div>
    <w:div w:id="213740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apital-funding-guide/1-help-to-buy-shared-ownershi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esignated-protected-area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chpr.landecon.cam.ac.uk/Projects/Start-Year/2011/Understanding-second-hand-market-shared-ownership-properties/Project-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1203</Words>
  <Characters>6858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AGENDA ITEM NO:</vt:lpstr>
    </vt:vector>
  </TitlesOfParts>
  <Company>Hambleton District Council</Company>
  <LinksUpToDate>false</LinksUpToDate>
  <CharactersWithSpaces>8045</CharactersWithSpaces>
  <SharedDoc>false</SharedDoc>
  <HLinks>
    <vt:vector size="18" baseType="variant">
      <vt:variant>
        <vt:i4>5767248</vt:i4>
      </vt:variant>
      <vt:variant>
        <vt:i4>3</vt:i4>
      </vt:variant>
      <vt:variant>
        <vt:i4>0</vt:i4>
      </vt:variant>
      <vt:variant>
        <vt:i4>5</vt:i4>
      </vt:variant>
      <vt:variant>
        <vt:lpwstr>https://www.gov.uk/government/publications/designated-protected-areas</vt:lpwstr>
      </vt:variant>
      <vt:variant>
        <vt:lpwstr/>
      </vt:variant>
      <vt:variant>
        <vt:i4>2490474</vt:i4>
      </vt:variant>
      <vt:variant>
        <vt:i4>0</vt:i4>
      </vt:variant>
      <vt:variant>
        <vt:i4>0</vt:i4>
      </vt:variant>
      <vt:variant>
        <vt:i4>5</vt:i4>
      </vt:variant>
      <vt:variant>
        <vt:lpwstr>https://www.gov.uk/guidance/capital-funding-guide/1-help-to-buy-shared-ownership</vt:lpwstr>
      </vt:variant>
      <vt:variant>
        <vt:lpwstr>sec137</vt:lpwstr>
      </vt:variant>
      <vt:variant>
        <vt:i4>5570576</vt:i4>
      </vt:variant>
      <vt:variant>
        <vt:i4>0</vt:i4>
      </vt:variant>
      <vt:variant>
        <vt:i4>0</vt:i4>
      </vt:variant>
      <vt:variant>
        <vt:i4>5</vt:i4>
      </vt:variant>
      <vt:variant>
        <vt:lpwstr>http://www.cchpr.landecon.cam.ac.uk/Projects/Start-Year/2011/Understanding-second-hand-market-shared-ownership-properties/Project-Report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NO:</dc:title>
  <dc:creator>mwilkinson</dc:creator>
  <cp:lastModifiedBy>Sarah Hall</cp:lastModifiedBy>
  <cp:revision>2</cp:revision>
  <cp:lastPrinted>2016-04-22T09:14:00Z</cp:lastPrinted>
  <dcterms:created xsi:type="dcterms:W3CDTF">2018-02-01T16:37:00Z</dcterms:created>
  <dcterms:modified xsi:type="dcterms:W3CDTF">2018-02-01T16:37:00Z</dcterms:modified>
</cp:coreProperties>
</file>