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F" w:rsidRPr="00A05389" w:rsidRDefault="00BE761E" w:rsidP="00BE761E">
      <w:pPr>
        <w:pStyle w:val="Title"/>
        <w:ind w:left="720"/>
      </w:pPr>
      <w:r w:rsidRPr="00BE761E">
        <w:rPr>
          <w:noProof/>
        </w:rPr>
        <w:drawing>
          <wp:anchor distT="0" distB="0" distL="114300" distR="114300" simplePos="0" relativeHeight="251659264" behindDoc="0" locked="0" layoutInCell="1" allowOverlap="1">
            <wp:simplePos x="0" y="0"/>
            <wp:positionH relativeFrom="margin">
              <wp:posOffset>2612390</wp:posOffset>
            </wp:positionH>
            <wp:positionV relativeFrom="margin">
              <wp:posOffset>69215</wp:posOffset>
            </wp:positionV>
            <wp:extent cx="1085850" cy="1285875"/>
            <wp:effectExtent l="19050" t="0" r="0" b="0"/>
            <wp:wrapSquare wrapText="bothSides"/>
            <wp:docPr id="3" name="Picture 2" descr="N and EY Rural Housing Enablers Small 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and EY Rural Housing Enablers Small Logo HR"/>
                    <pic:cNvPicPr>
                      <a:picLocks noChangeAspect="1" noChangeArrowheads="1"/>
                    </pic:cNvPicPr>
                  </pic:nvPicPr>
                  <pic:blipFill>
                    <a:blip r:embed="rId8" cstate="print"/>
                    <a:srcRect/>
                    <a:stretch>
                      <a:fillRect/>
                    </a:stretch>
                  </pic:blipFill>
                  <pic:spPr bwMode="auto">
                    <a:xfrm>
                      <a:off x="0" y="0"/>
                      <a:ext cx="1085850" cy="1285875"/>
                    </a:xfrm>
                    <a:prstGeom prst="rect">
                      <a:avLst/>
                    </a:prstGeom>
                    <a:noFill/>
                    <a:ln w="9525">
                      <a:noFill/>
                      <a:miter lim="800000"/>
                      <a:headEnd/>
                      <a:tailEnd/>
                    </a:ln>
                  </pic:spPr>
                </pic:pic>
              </a:graphicData>
            </a:graphic>
          </wp:anchor>
        </w:drawing>
      </w: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BE761E" w:rsidRDefault="00BE761E" w:rsidP="002A5C21">
      <w:pPr>
        <w:pStyle w:val="Title"/>
        <w:outlineLvl w:val="0"/>
        <w:rPr>
          <w:rFonts w:ascii="Arial" w:hAnsi="Arial" w:cs="Arial"/>
          <w:sz w:val="24"/>
          <w:szCs w:val="24"/>
        </w:rPr>
      </w:pPr>
    </w:p>
    <w:p w:rsidR="00DF388F" w:rsidRPr="00BA2115" w:rsidRDefault="00DF388F" w:rsidP="002A5C21">
      <w:pPr>
        <w:pStyle w:val="Title"/>
        <w:outlineLvl w:val="0"/>
        <w:rPr>
          <w:rFonts w:ascii="Arial" w:hAnsi="Arial" w:cs="Arial"/>
          <w:sz w:val="24"/>
          <w:szCs w:val="24"/>
        </w:rPr>
      </w:pPr>
      <w:r w:rsidRPr="00BA2115">
        <w:rPr>
          <w:rFonts w:ascii="Arial" w:hAnsi="Arial" w:cs="Arial"/>
          <w:sz w:val="24"/>
          <w:szCs w:val="24"/>
        </w:rPr>
        <w:t>Minutes of the North</w:t>
      </w:r>
      <w:r w:rsidR="00CC19CA" w:rsidRPr="00BA2115">
        <w:rPr>
          <w:rFonts w:ascii="Arial" w:hAnsi="Arial" w:cs="Arial"/>
          <w:sz w:val="24"/>
          <w:szCs w:val="24"/>
        </w:rPr>
        <w:t xml:space="preserve"> &amp; East</w:t>
      </w:r>
      <w:r w:rsidRPr="00BA2115">
        <w:rPr>
          <w:rFonts w:ascii="Arial" w:hAnsi="Arial" w:cs="Arial"/>
          <w:sz w:val="24"/>
          <w:szCs w:val="24"/>
        </w:rPr>
        <w:t xml:space="preserve"> </w:t>
      </w:r>
      <w:r w:rsidR="00F32FA6" w:rsidRPr="00BA2115">
        <w:rPr>
          <w:rFonts w:ascii="Arial" w:hAnsi="Arial" w:cs="Arial"/>
          <w:sz w:val="24"/>
          <w:szCs w:val="24"/>
        </w:rPr>
        <w:t>Yorkshire Rural Housing Enabler</w:t>
      </w:r>
      <w:r w:rsidRPr="00BA2115">
        <w:rPr>
          <w:rFonts w:ascii="Arial" w:hAnsi="Arial" w:cs="Arial"/>
          <w:sz w:val="24"/>
          <w:szCs w:val="24"/>
        </w:rPr>
        <w:t xml:space="preserve"> Network </w:t>
      </w:r>
    </w:p>
    <w:p w:rsidR="00DF388F" w:rsidRPr="00A05389" w:rsidRDefault="000336A3" w:rsidP="001B4457">
      <w:pPr>
        <w:jc w:val="center"/>
        <w:outlineLvl w:val="0"/>
        <w:rPr>
          <w:rFonts w:cs="Arial"/>
          <w:b/>
          <w:sz w:val="24"/>
          <w:szCs w:val="24"/>
        </w:rPr>
      </w:pPr>
      <w:r>
        <w:rPr>
          <w:rFonts w:cs="Arial"/>
          <w:b/>
          <w:sz w:val="24"/>
          <w:szCs w:val="24"/>
        </w:rPr>
        <w:t>Wednesday</w:t>
      </w:r>
      <w:r w:rsidR="00F76BCA" w:rsidRPr="00A05389">
        <w:rPr>
          <w:rFonts w:cs="Arial"/>
          <w:b/>
          <w:sz w:val="24"/>
          <w:szCs w:val="24"/>
        </w:rPr>
        <w:t xml:space="preserve"> </w:t>
      </w:r>
      <w:r w:rsidR="00842986">
        <w:rPr>
          <w:rFonts w:cs="Arial"/>
          <w:b/>
          <w:sz w:val="24"/>
          <w:szCs w:val="24"/>
        </w:rPr>
        <w:t>27</w:t>
      </w:r>
      <w:r w:rsidR="00842986" w:rsidRPr="00842986">
        <w:rPr>
          <w:rFonts w:cs="Arial"/>
          <w:b/>
          <w:sz w:val="24"/>
          <w:szCs w:val="24"/>
          <w:vertAlign w:val="superscript"/>
        </w:rPr>
        <w:t>th</w:t>
      </w:r>
      <w:r w:rsidR="00842986">
        <w:rPr>
          <w:rFonts w:cs="Arial"/>
          <w:b/>
          <w:sz w:val="24"/>
          <w:szCs w:val="24"/>
        </w:rPr>
        <w:t xml:space="preserve"> April</w:t>
      </w:r>
      <w:r w:rsidR="00E47D8F">
        <w:rPr>
          <w:rFonts w:cs="Arial"/>
          <w:b/>
          <w:sz w:val="24"/>
          <w:szCs w:val="24"/>
        </w:rPr>
        <w:t xml:space="preserve"> 2016</w:t>
      </w:r>
      <w:r w:rsidR="00ED6B8D">
        <w:rPr>
          <w:rFonts w:cs="Arial"/>
          <w:b/>
          <w:sz w:val="24"/>
          <w:szCs w:val="24"/>
        </w:rPr>
        <w:t xml:space="preserve"> at 10.30am</w:t>
      </w:r>
    </w:p>
    <w:p w:rsidR="00C3504C" w:rsidRPr="00A05389" w:rsidRDefault="00842986" w:rsidP="001B4457">
      <w:pPr>
        <w:jc w:val="center"/>
        <w:outlineLvl w:val="0"/>
        <w:rPr>
          <w:rFonts w:cs="Arial"/>
          <w:b/>
          <w:sz w:val="24"/>
          <w:szCs w:val="24"/>
        </w:rPr>
      </w:pPr>
      <w:r>
        <w:rPr>
          <w:rFonts w:cs="Arial"/>
          <w:b/>
          <w:sz w:val="24"/>
          <w:szCs w:val="24"/>
        </w:rPr>
        <w:t>Broadacres Housing Association, Head Office, Northallerton</w:t>
      </w:r>
    </w:p>
    <w:p w:rsidR="00DF388F" w:rsidRPr="00A05389" w:rsidRDefault="00DF388F" w:rsidP="004B19F3">
      <w:pPr>
        <w:ind w:firstLine="720"/>
        <w:rPr>
          <w:b/>
        </w:rPr>
      </w:pPr>
      <w:r w:rsidRPr="00A05389">
        <w:rPr>
          <w:b/>
        </w:rPr>
        <w:tab/>
      </w:r>
      <w:r w:rsidRPr="00A05389">
        <w:rPr>
          <w:b/>
        </w:rPr>
        <w:tab/>
      </w:r>
      <w:r w:rsidRPr="00A05389">
        <w:rPr>
          <w:b/>
        </w:rPr>
        <w:tab/>
      </w:r>
      <w:r w:rsidRPr="00A05389">
        <w:rPr>
          <w:b/>
        </w:rPr>
        <w:tab/>
      </w:r>
      <w:r w:rsidR="004B19F3">
        <w:rPr>
          <w:b/>
        </w:rPr>
        <w:t xml:space="preserve">     </w:t>
      </w:r>
    </w:p>
    <w:p w:rsidR="00D00160" w:rsidRDefault="00D00160" w:rsidP="00D00160">
      <w:pPr>
        <w:pStyle w:val="BodyText"/>
        <w:ind w:left="720"/>
        <w:outlineLvl w:val="0"/>
        <w:rPr>
          <w:rFonts w:cs="Arial"/>
          <w:b/>
          <w:sz w:val="22"/>
          <w:szCs w:val="22"/>
        </w:rPr>
      </w:pP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BD664B" w:rsidRDefault="00D00160" w:rsidP="00F0760F">
            <w:pPr>
              <w:spacing w:before="60" w:after="60"/>
              <w:rPr>
                <w:rFonts w:cs="Arial"/>
                <w:b/>
                <w:sz w:val="24"/>
                <w:szCs w:val="24"/>
              </w:rPr>
            </w:pPr>
            <w:r w:rsidRPr="00BD664B">
              <w:rPr>
                <w:rFonts w:cs="Arial"/>
                <w:b/>
                <w:sz w:val="24"/>
                <w:szCs w:val="24"/>
              </w:rPr>
              <w:t>Present:</w:t>
            </w:r>
          </w:p>
        </w:tc>
        <w:tc>
          <w:tcPr>
            <w:tcW w:w="432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rPr>
                <w:rFonts w:cs="Arial"/>
                <w:b/>
                <w:sz w:val="24"/>
                <w:szCs w:val="24"/>
              </w:rPr>
            </w:pPr>
            <w:r w:rsidRPr="00E47D8F">
              <w:rPr>
                <w:rFonts w:cs="Arial"/>
                <w:b/>
                <w:sz w:val="24"/>
                <w:szCs w:val="24"/>
              </w:rPr>
              <w:t>Apologies</w:t>
            </w:r>
            <w:r>
              <w:rPr>
                <w:rFonts w:cs="Arial"/>
                <w:b/>
                <w:sz w:val="24"/>
                <w:szCs w:val="24"/>
              </w:rPr>
              <w:t>:</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sz w:val="24"/>
              </w:rPr>
              <w:t>Sarah Hall (Chair) NYSHP</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rPr>
                <w:rFonts w:cs="Arial"/>
                <w:sz w:val="24"/>
                <w:szCs w:val="24"/>
              </w:rPr>
            </w:pPr>
            <w:r>
              <w:rPr>
                <w:rFonts w:cs="Arial"/>
                <w:sz w:val="24"/>
                <w:szCs w:val="24"/>
              </w:rPr>
              <w:t>Bob Clayton, - Jephson HA</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Amber Malone, Home HA</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rPr>
                <w:rFonts w:cs="Arial"/>
                <w:sz w:val="24"/>
                <w:szCs w:val="24"/>
              </w:rPr>
            </w:pPr>
            <w:r w:rsidRPr="00E47D8F">
              <w:rPr>
                <w:rFonts w:cs="Arial"/>
                <w:sz w:val="24"/>
                <w:szCs w:val="24"/>
              </w:rPr>
              <w:t>Sue Walters-Thompson, HDC</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Pr>
                <w:rFonts w:cs="Arial"/>
                <w:sz w:val="24"/>
                <w:szCs w:val="24"/>
              </w:rPr>
              <w:t>Clair</w:t>
            </w:r>
            <w:r w:rsidRPr="00BA2115">
              <w:rPr>
                <w:rFonts w:cs="Arial"/>
                <w:sz w:val="24"/>
                <w:szCs w:val="24"/>
              </w:rPr>
              <w:t xml:space="preserve"> Shields, NYMNPA</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rPr>
                <w:rFonts w:cs="Arial"/>
                <w:sz w:val="24"/>
                <w:szCs w:val="24"/>
              </w:rPr>
            </w:pPr>
            <w:r>
              <w:rPr>
                <w:rFonts w:cs="Arial"/>
                <w:sz w:val="24"/>
                <w:szCs w:val="24"/>
              </w:rPr>
              <w:t>Justine Gore, Yorkshire Housing</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Jenny Wood, HBC/CDC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rPr>
                <w:rFonts w:cs="Arial"/>
                <w:sz w:val="24"/>
                <w:szCs w:val="24"/>
              </w:rPr>
            </w:pPr>
            <w:r w:rsidRPr="00BA2115">
              <w:rPr>
                <w:rFonts w:cs="Arial"/>
                <w:sz w:val="24"/>
                <w:szCs w:val="24"/>
              </w:rPr>
              <w:t>Wyn Ashton – Craven DC</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BA2115">
              <w:rPr>
                <w:rFonts w:cs="Arial"/>
                <w:sz w:val="24"/>
                <w:szCs w:val="24"/>
              </w:rPr>
              <w:t>Julia Jennison, SDC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r w:rsidRPr="00BA2115">
              <w:rPr>
                <w:rFonts w:cs="Arial"/>
                <w:sz w:val="24"/>
                <w:szCs w:val="24"/>
              </w:rPr>
              <w:t>Alan Glew, C</w:t>
            </w:r>
            <w:r>
              <w:rPr>
                <w:rFonts w:cs="Arial"/>
                <w:sz w:val="24"/>
                <w:szCs w:val="24"/>
              </w:rPr>
              <w:t xml:space="preserve">oast </w:t>
            </w:r>
            <w:r w:rsidRPr="00BA2115">
              <w:rPr>
                <w:rFonts w:cs="Arial"/>
                <w:sz w:val="24"/>
                <w:szCs w:val="24"/>
              </w:rPr>
              <w:t>&amp;</w:t>
            </w:r>
            <w:r>
              <w:rPr>
                <w:rFonts w:cs="Arial"/>
                <w:sz w:val="24"/>
                <w:szCs w:val="24"/>
              </w:rPr>
              <w:t xml:space="preserve"> </w:t>
            </w:r>
            <w:r w:rsidRPr="00BA2115">
              <w:rPr>
                <w:rFonts w:cs="Arial"/>
                <w:sz w:val="24"/>
                <w:szCs w:val="24"/>
              </w:rPr>
              <w:t>C</w:t>
            </w:r>
            <w:r>
              <w:rPr>
                <w:rFonts w:cs="Arial"/>
                <w:sz w:val="24"/>
                <w:szCs w:val="24"/>
              </w:rPr>
              <w:t>ountry HA</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Sarah Close, HBC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r>
              <w:rPr>
                <w:rFonts w:cs="Arial"/>
                <w:sz w:val="24"/>
                <w:szCs w:val="24"/>
              </w:rPr>
              <w:t>Kim Robertshaw, - Ryedale DC</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John Burroughs, SBC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r w:rsidRPr="00E47D8F">
              <w:rPr>
                <w:rFonts w:cs="Arial"/>
                <w:sz w:val="24"/>
                <w:szCs w:val="24"/>
              </w:rPr>
              <w:t>Amanda Madden, HDC/RDC</w:t>
            </w:r>
          </w:p>
        </w:tc>
      </w:tr>
      <w:tr w:rsidR="00D00160" w:rsidRPr="00A05389" w:rsidTr="00F0760F">
        <w:trPr>
          <w:trHeight w:val="380"/>
        </w:trPr>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Colin Huby, SBC/RyDC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rPr>
                <w:rFonts w:cs="Arial"/>
                <w:sz w:val="24"/>
                <w:szCs w:val="24"/>
              </w:rPr>
            </w:pPr>
            <w:r>
              <w:rPr>
                <w:sz w:val="24"/>
              </w:rPr>
              <w:t>Karen Howard</w:t>
            </w:r>
            <w:r w:rsidRPr="00E47D8F">
              <w:rPr>
                <w:sz w:val="24"/>
              </w:rPr>
              <w:t>, YCH</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rPr>
                <w:sz w:val="24"/>
              </w:rPr>
            </w:pPr>
            <w:r w:rsidRPr="00E47D8F">
              <w:rPr>
                <w:sz w:val="24"/>
              </w:rPr>
              <w:t>Emily Grogan, CDC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r w:rsidRPr="00BA2115">
              <w:rPr>
                <w:rFonts w:cs="Arial"/>
                <w:sz w:val="24"/>
                <w:szCs w:val="24"/>
              </w:rPr>
              <w:t>Cllr. Richard Foster, CDC</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BA2115">
              <w:rPr>
                <w:rFonts w:cs="Arial"/>
                <w:sz w:val="24"/>
                <w:szCs w:val="24"/>
              </w:rPr>
              <w:t>Steven Brook – Harrogate Families</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r>
              <w:rPr>
                <w:rFonts w:cs="Arial"/>
                <w:sz w:val="24"/>
                <w:szCs w:val="24"/>
              </w:rPr>
              <w:t xml:space="preserve">Matt Lewer </w:t>
            </w:r>
            <w:r w:rsidR="0028079C">
              <w:rPr>
                <w:rFonts w:cs="Arial"/>
                <w:sz w:val="24"/>
                <w:szCs w:val="24"/>
              </w:rPr>
              <w:t>–</w:t>
            </w:r>
            <w:r>
              <w:rPr>
                <w:rFonts w:cs="Arial"/>
                <w:sz w:val="24"/>
                <w:szCs w:val="24"/>
              </w:rPr>
              <w:t xml:space="preserve"> ERYC</w:t>
            </w: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Emma Whittles, SDC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David Siddle, ERYC</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Helen Fielding, HCA</w:t>
            </w:r>
          </w:p>
        </w:tc>
        <w:tc>
          <w:tcPr>
            <w:tcW w:w="4320" w:type="dxa"/>
            <w:tcBorders>
              <w:top w:val="single" w:sz="4" w:space="0" w:color="auto"/>
              <w:left w:val="single" w:sz="4" w:space="0" w:color="auto"/>
              <w:bottom w:val="single" w:sz="4" w:space="0" w:color="auto"/>
              <w:right w:val="single" w:sz="4" w:space="0" w:color="auto"/>
            </w:tcBorders>
          </w:tcPr>
          <w:p w:rsidR="00D00160" w:rsidRPr="00BA2115" w:rsidRDefault="00D00160" w:rsidP="00F0760F">
            <w:pPr>
              <w:spacing w:before="60" w:after="60"/>
              <w:rPr>
                <w:rFonts w:cs="Arial"/>
                <w:sz w:val="24"/>
                <w:szCs w:val="24"/>
              </w:rPr>
            </w:pPr>
          </w:p>
        </w:tc>
      </w:tr>
      <w:tr w:rsidR="00D00160" w:rsidRPr="00A05389" w:rsidTr="00F0760F">
        <w:tc>
          <w:tcPr>
            <w:tcW w:w="4500" w:type="dxa"/>
            <w:tcBorders>
              <w:top w:val="single" w:sz="4" w:space="0" w:color="auto"/>
              <w:left w:val="single" w:sz="4" w:space="0" w:color="auto"/>
              <w:bottom w:val="single" w:sz="4" w:space="0" w:color="auto"/>
              <w:right w:val="single" w:sz="4" w:space="0" w:color="auto"/>
            </w:tcBorders>
          </w:tcPr>
          <w:p w:rsidR="00D00160" w:rsidRPr="00E47D8F" w:rsidRDefault="00D00160" w:rsidP="00F0760F">
            <w:pPr>
              <w:spacing w:before="60" w:after="60"/>
              <w:rPr>
                <w:rFonts w:cs="Arial"/>
                <w:sz w:val="24"/>
                <w:szCs w:val="24"/>
              </w:rPr>
            </w:pPr>
            <w:r w:rsidRPr="00E47D8F">
              <w:rPr>
                <w:rFonts w:cs="Arial"/>
                <w:sz w:val="24"/>
                <w:szCs w:val="24"/>
              </w:rPr>
              <w:t>Jane Harrison, CLA</w:t>
            </w:r>
          </w:p>
        </w:tc>
        <w:tc>
          <w:tcPr>
            <w:tcW w:w="4320" w:type="dxa"/>
            <w:tcBorders>
              <w:top w:val="single" w:sz="4" w:space="0" w:color="auto"/>
              <w:left w:val="single" w:sz="4" w:space="0" w:color="auto"/>
              <w:bottom w:val="single" w:sz="4" w:space="0" w:color="auto"/>
              <w:right w:val="single" w:sz="4" w:space="0" w:color="auto"/>
            </w:tcBorders>
          </w:tcPr>
          <w:p w:rsidR="00D00160" w:rsidRPr="008E58AC" w:rsidRDefault="00D00160" w:rsidP="00F0760F">
            <w:pPr>
              <w:spacing w:before="60" w:after="60"/>
              <w:rPr>
                <w:rFonts w:cs="Arial"/>
                <w:sz w:val="24"/>
                <w:szCs w:val="24"/>
              </w:rPr>
            </w:pPr>
          </w:p>
        </w:tc>
      </w:tr>
      <w:tr w:rsidR="00D00160" w:rsidTr="00F0760F">
        <w:trPr>
          <w:trHeight w:val="265"/>
        </w:trPr>
        <w:tc>
          <w:tcPr>
            <w:tcW w:w="4500" w:type="dxa"/>
            <w:tcBorders>
              <w:top w:val="single" w:sz="4" w:space="0" w:color="auto"/>
              <w:left w:val="single" w:sz="4" w:space="0" w:color="auto"/>
              <w:bottom w:val="single" w:sz="4" w:space="0" w:color="auto"/>
              <w:right w:val="single" w:sz="4" w:space="0" w:color="auto"/>
            </w:tcBorders>
          </w:tcPr>
          <w:p w:rsidR="00D00160" w:rsidRDefault="00D00160" w:rsidP="00F0760F">
            <w:pPr>
              <w:spacing w:before="60" w:after="60"/>
              <w:rPr>
                <w:rFonts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rsidR="00D00160" w:rsidRPr="008E58AC" w:rsidRDefault="00D00160" w:rsidP="00F0760F">
            <w:pPr>
              <w:spacing w:before="60" w:after="60"/>
              <w:rPr>
                <w:rFonts w:cs="Arial"/>
                <w:sz w:val="24"/>
                <w:szCs w:val="24"/>
              </w:rPr>
            </w:pPr>
          </w:p>
        </w:tc>
      </w:tr>
    </w:tbl>
    <w:p w:rsidR="00D00160" w:rsidRDefault="00D00160" w:rsidP="00D00160">
      <w:pPr>
        <w:rPr>
          <w:sz w:val="24"/>
          <w:szCs w:val="24"/>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00160" w:rsidRDefault="00D00160" w:rsidP="00D00160">
      <w:pPr>
        <w:pStyle w:val="BodyText"/>
        <w:ind w:left="720"/>
        <w:outlineLvl w:val="0"/>
        <w:rPr>
          <w:rFonts w:cs="Arial"/>
          <w:b/>
          <w:sz w:val="22"/>
          <w:szCs w:val="22"/>
        </w:rPr>
      </w:pPr>
    </w:p>
    <w:p w:rsidR="00DF388F" w:rsidRDefault="00DF388F" w:rsidP="00CA2A26">
      <w:pPr>
        <w:pStyle w:val="BodyText"/>
        <w:numPr>
          <w:ilvl w:val="0"/>
          <w:numId w:val="1"/>
        </w:numPr>
        <w:outlineLvl w:val="0"/>
        <w:rPr>
          <w:rFonts w:cs="Arial"/>
          <w:b/>
          <w:sz w:val="22"/>
          <w:szCs w:val="22"/>
        </w:rPr>
      </w:pPr>
      <w:r w:rsidRPr="00652F77">
        <w:rPr>
          <w:rFonts w:cs="Arial"/>
          <w:b/>
          <w:sz w:val="22"/>
          <w:szCs w:val="22"/>
        </w:rPr>
        <w:t>Welcome and Introductions</w:t>
      </w:r>
    </w:p>
    <w:p w:rsidR="00DF388F" w:rsidRPr="00C85736" w:rsidRDefault="00234551" w:rsidP="00CB5240">
      <w:pPr>
        <w:pStyle w:val="BodyText"/>
        <w:ind w:left="720"/>
        <w:rPr>
          <w:rFonts w:cs="Arial"/>
          <w:sz w:val="22"/>
          <w:szCs w:val="22"/>
        </w:rPr>
      </w:pPr>
      <w:r>
        <w:rPr>
          <w:rFonts w:cs="Arial"/>
          <w:sz w:val="22"/>
          <w:szCs w:val="22"/>
        </w:rPr>
        <w:t>Sarah Hall</w:t>
      </w:r>
      <w:r w:rsidR="006C2189" w:rsidRPr="001B5FA6">
        <w:rPr>
          <w:rFonts w:cs="Arial"/>
          <w:sz w:val="22"/>
          <w:szCs w:val="22"/>
        </w:rPr>
        <w:t xml:space="preserve"> </w:t>
      </w:r>
      <w:r w:rsidR="00C3504C" w:rsidRPr="001B5FA6">
        <w:rPr>
          <w:rFonts w:cs="Arial"/>
          <w:sz w:val="22"/>
          <w:szCs w:val="22"/>
        </w:rPr>
        <w:t>ch</w:t>
      </w:r>
      <w:r w:rsidR="008760BE" w:rsidRPr="001B5FA6">
        <w:rPr>
          <w:rFonts w:cs="Arial"/>
          <w:sz w:val="22"/>
          <w:szCs w:val="22"/>
        </w:rPr>
        <w:t>aired the meeting</w:t>
      </w:r>
      <w:r w:rsidR="00CB5240">
        <w:rPr>
          <w:rFonts w:cs="Arial"/>
          <w:sz w:val="22"/>
          <w:szCs w:val="22"/>
        </w:rPr>
        <w:t xml:space="preserve"> in the absence of Cllr Foster</w:t>
      </w:r>
      <w:r w:rsidR="00F76BCA" w:rsidRPr="001B5FA6">
        <w:rPr>
          <w:rFonts w:cs="Arial"/>
          <w:sz w:val="22"/>
          <w:szCs w:val="22"/>
        </w:rPr>
        <w:t xml:space="preserve">. </w:t>
      </w:r>
      <w:r w:rsidR="00DF388F" w:rsidRPr="001B5FA6">
        <w:rPr>
          <w:rFonts w:cs="Arial"/>
          <w:sz w:val="22"/>
          <w:szCs w:val="22"/>
        </w:rPr>
        <w:t xml:space="preserve"> </w:t>
      </w:r>
    </w:p>
    <w:p w:rsidR="00A95382" w:rsidRPr="00A95382" w:rsidRDefault="00A95382" w:rsidP="0080002E">
      <w:pPr>
        <w:pStyle w:val="BodyText"/>
        <w:ind w:firstLine="720"/>
        <w:rPr>
          <w:rFonts w:cs="Arial"/>
          <w:sz w:val="22"/>
          <w:szCs w:val="22"/>
        </w:rPr>
      </w:pPr>
    </w:p>
    <w:p w:rsidR="000B7232" w:rsidRPr="00652F77" w:rsidRDefault="00DF388F" w:rsidP="00CA2A26">
      <w:pPr>
        <w:pStyle w:val="BodyText"/>
        <w:numPr>
          <w:ilvl w:val="0"/>
          <w:numId w:val="1"/>
        </w:numPr>
        <w:outlineLvl w:val="0"/>
        <w:rPr>
          <w:rFonts w:cs="Arial"/>
          <w:b/>
          <w:sz w:val="22"/>
          <w:szCs w:val="22"/>
        </w:rPr>
      </w:pPr>
      <w:r w:rsidRPr="00652F77">
        <w:rPr>
          <w:rFonts w:cs="Arial"/>
          <w:b/>
          <w:sz w:val="22"/>
          <w:szCs w:val="22"/>
        </w:rPr>
        <w:t>Minutes of</w:t>
      </w:r>
      <w:r w:rsidR="00D8492C" w:rsidRPr="00652F77">
        <w:rPr>
          <w:rFonts w:cs="Arial"/>
          <w:b/>
          <w:sz w:val="22"/>
          <w:szCs w:val="22"/>
        </w:rPr>
        <w:t xml:space="preserve"> </w:t>
      </w:r>
      <w:r w:rsidR="004B19F3" w:rsidRPr="00652F77">
        <w:rPr>
          <w:rFonts w:cs="Arial"/>
          <w:b/>
          <w:sz w:val="22"/>
          <w:szCs w:val="22"/>
        </w:rPr>
        <w:t xml:space="preserve">NY RHE Network Meeting held on </w:t>
      </w:r>
      <w:r w:rsidR="00CB5240">
        <w:rPr>
          <w:rFonts w:cs="Arial"/>
          <w:b/>
          <w:sz w:val="22"/>
          <w:szCs w:val="22"/>
        </w:rPr>
        <w:t>27</w:t>
      </w:r>
      <w:r w:rsidR="00CB5240" w:rsidRPr="00CB5240">
        <w:rPr>
          <w:rFonts w:cs="Arial"/>
          <w:b/>
          <w:sz w:val="22"/>
          <w:szCs w:val="22"/>
          <w:vertAlign w:val="superscript"/>
        </w:rPr>
        <w:t>th</w:t>
      </w:r>
      <w:r w:rsidR="00CB5240">
        <w:rPr>
          <w:rFonts w:cs="Arial"/>
          <w:b/>
          <w:sz w:val="22"/>
          <w:szCs w:val="22"/>
        </w:rPr>
        <w:t xml:space="preserve"> January 2016</w:t>
      </w:r>
    </w:p>
    <w:p w:rsidR="00C3504C" w:rsidRPr="001B5FA6" w:rsidRDefault="006E518B" w:rsidP="008F27C1">
      <w:pPr>
        <w:ind w:left="720"/>
        <w:jc w:val="both"/>
        <w:rPr>
          <w:rFonts w:cs="Arial"/>
        </w:rPr>
      </w:pPr>
      <w:r w:rsidRPr="001B5FA6">
        <w:rPr>
          <w:rFonts w:cs="Arial"/>
        </w:rPr>
        <w:t>Agreed</w:t>
      </w:r>
      <w:r w:rsidR="00DF388F" w:rsidRPr="001B5FA6">
        <w:rPr>
          <w:rFonts w:cs="Arial"/>
        </w:rPr>
        <w:t xml:space="preserve"> as a true and accurate record</w:t>
      </w:r>
      <w:r w:rsidR="001B4E31">
        <w:rPr>
          <w:rFonts w:cs="Arial"/>
        </w:rPr>
        <w:t>.</w:t>
      </w:r>
      <w:r w:rsidR="008F27C1">
        <w:rPr>
          <w:rFonts w:cs="Arial"/>
        </w:rPr>
        <w:t xml:space="preserve"> </w:t>
      </w:r>
    </w:p>
    <w:p w:rsidR="00F10063" w:rsidRPr="00652F77" w:rsidRDefault="00F10063" w:rsidP="006C2189">
      <w:pPr>
        <w:jc w:val="both"/>
        <w:rPr>
          <w:rFonts w:cs="Arial"/>
          <w:b/>
        </w:rPr>
      </w:pPr>
    </w:p>
    <w:p w:rsidR="006C2189" w:rsidRPr="00652F77" w:rsidRDefault="00DF388F" w:rsidP="00CB5240">
      <w:pPr>
        <w:jc w:val="both"/>
        <w:rPr>
          <w:rFonts w:cs="Arial"/>
          <w:b/>
        </w:rPr>
      </w:pPr>
      <w:r w:rsidRPr="00652F77">
        <w:rPr>
          <w:rFonts w:cs="Arial"/>
          <w:b/>
        </w:rPr>
        <w:t xml:space="preserve">2.1 </w:t>
      </w:r>
      <w:r w:rsidRPr="00652F77">
        <w:rPr>
          <w:rFonts w:cs="Arial"/>
          <w:b/>
        </w:rPr>
        <w:tab/>
        <w:t xml:space="preserve">Matters Arising </w:t>
      </w:r>
    </w:p>
    <w:p w:rsidR="000B7232" w:rsidRDefault="00CB5240" w:rsidP="00A05389">
      <w:pPr>
        <w:ind w:left="720"/>
        <w:jc w:val="both"/>
        <w:rPr>
          <w:rFonts w:cs="Arial"/>
        </w:rPr>
      </w:pPr>
      <w:r>
        <w:rPr>
          <w:rFonts w:cs="Arial"/>
        </w:rPr>
        <w:t>Item 7.0 – Feedback from NYPOG obtained on NPPF consultation</w:t>
      </w:r>
      <w:r w:rsidR="00A920BF">
        <w:rPr>
          <w:rFonts w:cs="Arial"/>
        </w:rPr>
        <w:t>.</w:t>
      </w:r>
    </w:p>
    <w:p w:rsidR="00CB5240" w:rsidRDefault="00CB5240" w:rsidP="00A05389">
      <w:pPr>
        <w:ind w:left="720"/>
        <w:jc w:val="both"/>
        <w:rPr>
          <w:rFonts w:cs="Arial"/>
        </w:rPr>
      </w:pPr>
    </w:p>
    <w:p w:rsidR="00CB5240" w:rsidRDefault="00CB5240" w:rsidP="00A05389">
      <w:pPr>
        <w:ind w:left="720"/>
        <w:jc w:val="both"/>
        <w:rPr>
          <w:rFonts w:cs="Arial"/>
        </w:rPr>
      </w:pPr>
      <w:r>
        <w:rPr>
          <w:rFonts w:cs="Arial"/>
        </w:rPr>
        <w:t>Item 9.0 – New logo</w:t>
      </w:r>
      <w:r w:rsidR="00D639C8">
        <w:rPr>
          <w:rFonts w:cs="Arial"/>
        </w:rPr>
        <w:t xml:space="preserve"> incorporating East Yorkshire</w:t>
      </w:r>
      <w:r>
        <w:rPr>
          <w:rFonts w:cs="Arial"/>
        </w:rPr>
        <w:t xml:space="preserve"> now completed</w:t>
      </w:r>
    </w:p>
    <w:p w:rsidR="007764DF" w:rsidRPr="00807173" w:rsidRDefault="007764DF" w:rsidP="00C3504C">
      <w:pPr>
        <w:pStyle w:val="BodyText"/>
        <w:tabs>
          <w:tab w:val="num" w:pos="709"/>
        </w:tabs>
        <w:outlineLvl w:val="0"/>
        <w:rPr>
          <w:rFonts w:cs="Arial"/>
          <w:sz w:val="22"/>
          <w:szCs w:val="22"/>
        </w:rPr>
      </w:pPr>
    </w:p>
    <w:p w:rsidR="007764DF" w:rsidRPr="00807173" w:rsidRDefault="00652F77" w:rsidP="00652F77">
      <w:pPr>
        <w:pStyle w:val="BodyText"/>
        <w:numPr>
          <w:ilvl w:val="0"/>
          <w:numId w:val="1"/>
        </w:numPr>
        <w:outlineLvl w:val="0"/>
        <w:rPr>
          <w:rFonts w:cs="Arial"/>
          <w:b/>
          <w:sz w:val="22"/>
          <w:szCs w:val="22"/>
        </w:rPr>
      </w:pPr>
      <w:r w:rsidRPr="00807173">
        <w:rPr>
          <w:rFonts w:cs="Arial"/>
          <w:b/>
          <w:sz w:val="22"/>
          <w:szCs w:val="22"/>
        </w:rPr>
        <w:t>Monitoring completions/permissions 2015/16</w:t>
      </w:r>
      <w:r w:rsidR="00CB5240">
        <w:rPr>
          <w:rFonts w:cs="Arial"/>
          <w:b/>
          <w:sz w:val="22"/>
          <w:szCs w:val="22"/>
        </w:rPr>
        <w:t xml:space="preserve"> - Outturn</w:t>
      </w:r>
    </w:p>
    <w:p w:rsidR="0028079C" w:rsidRDefault="00CC6114" w:rsidP="008F53E1">
      <w:pPr>
        <w:pStyle w:val="BodyText"/>
        <w:ind w:left="720"/>
        <w:outlineLvl w:val="0"/>
        <w:rPr>
          <w:rFonts w:cs="Arial"/>
          <w:sz w:val="22"/>
          <w:szCs w:val="22"/>
        </w:rPr>
      </w:pPr>
      <w:r w:rsidRPr="00CB5240">
        <w:rPr>
          <w:rFonts w:cs="Arial"/>
          <w:sz w:val="22"/>
          <w:szCs w:val="22"/>
        </w:rPr>
        <w:t xml:space="preserve">Colin Huby </w:t>
      </w:r>
      <w:r w:rsidR="00CB5240" w:rsidRPr="00CB5240">
        <w:rPr>
          <w:rFonts w:cs="Arial"/>
          <w:sz w:val="22"/>
          <w:szCs w:val="22"/>
        </w:rPr>
        <w:t>presented the report on</w:t>
      </w:r>
      <w:r w:rsidRPr="00CB5240">
        <w:rPr>
          <w:rFonts w:cs="Arial"/>
          <w:sz w:val="22"/>
          <w:szCs w:val="22"/>
        </w:rPr>
        <w:t xml:space="preserve"> completions/permissions for 2015/16. </w:t>
      </w:r>
      <w:r w:rsidR="00CB5240">
        <w:rPr>
          <w:rFonts w:cs="Arial"/>
          <w:sz w:val="22"/>
          <w:szCs w:val="22"/>
        </w:rPr>
        <w:t>The final num</w:t>
      </w:r>
      <w:r w:rsidR="0028079C">
        <w:rPr>
          <w:rFonts w:cs="Arial"/>
          <w:sz w:val="22"/>
          <w:szCs w:val="22"/>
        </w:rPr>
        <w:t xml:space="preserve">ber of completions is 177 </w:t>
      </w:r>
      <w:r w:rsidR="00CB5240">
        <w:rPr>
          <w:rFonts w:cs="Arial"/>
          <w:sz w:val="22"/>
          <w:szCs w:val="22"/>
        </w:rPr>
        <w:t>(108 units – s106; 34 units – RES; 35 units – 100% Aff. Hsg.)  Ther</w:t>
      </w:r>
      <w:r w:rsidR="0028079C">
        <w:rPr>
          <w:rFonts w:cs="Arial"/>
          <w:sz w:val="22"/>
          <w:szCs w:val="22"/>
        </w:rPr>
        <w:t>e were 583 planning consents in</w:t>
      </w:r>
      <w:r w:rsidR="00CB5240">
        <w:rPr>
          <w:rFonts w:cs="Arial"/>
          <w:sz w:val="22"/>
          <w:szCs w:val="22"/>
        </w:rPr>
        <w:t xml:space="preserve"> 15/16.</w:t>
      </w:r>
    </w:p>
    <w:p w:rsidR="00340FE6" w:rsidRPr="00CB5240" w:rsidRDefault="008F53E1" w:rsidP="008F53E1">
      <w:pPr>
        <w:pStyle w:val="BodyText"/>
        <w:ind w:left="720"/>
        <w:outlineLvl w:val="0"/>
        <w:rPr>
          <w:rFonts w:cs="Arial"/>
          <w:sz w:val="22"/>
          <w:szCs w:val="22"/>
        </w:rPr>
      </w:pPr>
      <w:r>
        <w:rPr>
          <w:rFonts w:cs="Arial"/>
          <w:sz w:val="22"/>
          <w:szCs w:val="22"/>
        </w:rPr>
        <w:t xml:space="preserve">HF enquired whether forecasting is serving a useful purpose and how accurate it can hope to be.  JW advised that s106 completions can be especially uncertain and that planning approvals are prone to refusals/deferrals and subject to appeals. JB also stated that forecasting on a quarterly </w:t>
      </w:r>
      <w:r>
        <w:rPr>
          <w:rFonts w:cs="Arial"/>
          <w:sz w:val="22"/>
          <w:szCs w:val="22"/>
        </w:rPr>
        <w:lastRenderedPageBreak/>
        <w:t>basis can be unpredictable.  JW suggested that</w:t>
      </w:r>
      <w:r w:rsidR="00D00160">
        <w:rPr>
          <w:rFonts w:cs="Arial"/>
          <w:sz w:val="22"/>
          <w:szCs w:val="22"/>
        </w:rPr>
        <w:t xml:space="preserve"> forecast</w:t>
      </w:r>
      <w:r>
        <w:rPr>
          <w:rFonts w:cs="Arial"/>
          <w:sz w:val="22"/>
          <w:szCs w:val="22"/>
        </w:rPr>
        <w:t xml:space="preserve"> planning approvals should be an annual figure only.  After discussion it was agreed to look at changing the format for next financial year.   </w:t>
      </w:r>
      <w:r>
        <w:rPr>
          <w:rFonts w:cs="Arial"/>
          <w:b/>
          <w:sz w:val="22"/>
          <w:szCs w:val="22"/>
        </w:rPr>
        <w:t>(ACTION – CH)</w:t>
      </w:r>
    </w:p>
    <w:p w:rsidR="009C5E6A" w:rsidRPr="007C2908" w:rsidRDefault="009C5E6A" w:rsidP="009C5E6A">
      <w:pPr>
        <w:pStyle w:val="ListParagraph"/>
        <w:ind w:left="0"/>
        <w:rPr>
          <w:rFonts w:cs="Arial"/>
          <w:b/>
          <w:color w:val="FF6600"/>
        </w:rPr>
      </w:pPr>
    </w:p>
    <w:p w:rsidR="008F53E1" w:rsidRDefault="008F53E1" w:rsidP="00652F77">
      <w:pPr>
        <w:pStyle w:val="ListParagraph"/>
        <w:numPr>
          <w:ilvl w:val="0"/>
          <w:numId w:val="1"/>
        </w:numPr>
        <w:rPr>
          <w:rFonts w:cs="Arial"/>
          <w:b/>
        </w:rPr>
      </w:pPr>
      <w:r>
        <w:rPr>
          <w:rFonts w:cs="Arial"/>
          <w:b/>
        </w:rPr>
        <w:t>Initial Forecast for 2016/17</w:t>
      </w:r>
    </w:p>
    <w:p w:rsidR="008F53E1" w:rsidRDefault="008F53E1" w:rsidP="008F53E1">
      <w:pPr>
        <w:pStyle w:val="ListParagraph"/>
        <w:rPr>
          <w:rFonts w:cs="Arial"/>
        </w:rPr>
      </w:pPr>
      <w:r>
        <w:rPr>
          <w:rFonts w:cs="Arial"/>
        </w:rPr>
        <w:t>Colin Huby presented this report and advised that 238 completions are forecast (175 units – s106; 41 units – RES; 22 units – 100% Aff. Hsg.)</w:t>
      </w:r>
    </w:p>
    <w:p w:rsidR="008F53E1" w:rsidRPr="008F53E1" w:rsidRDefault="008F53E1" w:rsidP="008F53E1">
      <w:pPr>
        <w:pStyle w:val="ListParagraph"/>
        <w:rPr>
          <w:rFonts w:cs="Arial"/>
        </w:rPr>
      </w:pPr>
    </w:p>
    <w:p w:rsidR="008F53E1" w:rsidRDefault="008F53E1" w:rsidP="00652F77">
      <w:pPr>
        <w:pStyle w:val="ListParagraph"/>
        <w:numPr>
          <w:ilvl w:val="0"/>
          <w:numId w:val="1"/>
        </w:numPr>
        <w:rPr>
          <w:rFonts w:cs="Arial"/>
          <w:b/>
        </w:rPr>
      </w:pPr>
      <w:r>
        <w:rPr>
          <w:rFonts w:cs="Arial"/>
          <w:b/>
        </w:rPr>
        <w:t>Financial Contributions from 15/16 completions</w:t>
      </w:r>
    </w:p>
    <w:p w:rsidR="008F53E1" w:rsidRDefault="00D41F41" w:rsidP="008F53E1">
      <w:pPr>
        <w:pStyle w:val="ListParagraph"/>
        <w:rPr>
          <w:rFonts w:cs="Arial"/>
          <w:b/>
        </w:rPr>
      </w:pPr>
      <w:r>
        <w:rPr>
          <w:rFonts w:cs="Arial"/>
        </w:rPr>
        <w:t>SH explained the basis of the calculations and advised it had been a good year with RP contributions slightly less onerous at £332.67 per unit compared with previous year</w:t>
      </w:r>
      <w:r w:rsidR="0028079C">
        <w:rPr>
          <w:rFonts w:cs="Arial"/>
        </w:rPr>
        <w:t>s</w:t>
      </w:r>
      <w:r>
        <w:rPr>
          <w:rFonts w:cs="Arial"/>
        </w:rPr>
        <w:t xml:space="preserve">.  JH asked how many were shared ownership – this figure will be brought to next meeting. </w:t>
      </w:r>
      <w:r>
        <w:rPr>
          <w:rFonts w:cs="Arial"/>
          <w:b/>
        </w:rPr>
        <w:t xml:space="preserve">(ACTION – </w:t>
      </w:r>
      <w:r w:rsidR="0028079C">
        <w:rPr>
          <w:rFonts w:cs="Arial"/>
          <w:b/>
        </w:rPr>
        <w:t>CH</w:t>
      </w:r>
      <w:r>
        <w:rPr>
          <w:rFonts w:cs="Arial"/>
          <w:b/>
        </w:rPr>
        <w:t xml:space="preserve">) </w:t>
      </w:r>
      <w:r>
        <w:rPr>
          <w:rFonts w:cs="Arial"/>
        </w:rPr>
        <w:t>General discussion took place on exemptions and</w:t>
      </w:r>
      <w:r w:rsidR="0028079C">
        <w:rPr>
          <w:rFonts w:cs="Arial"/>
        </w:rPr>
        <w:t>,</w:t>
      </w:r>
      <w:r>
        <w:rPr>
          <w:rFonts w:cs="Arial"/>
        </w:rPr>
        <w:t xml:space="preserve"> in particular</w:t>
      </w:r>
      <w:r w:rsidR="0028079C">
        <w:rPr>
          <w:rFonts w:cs="Arial"/>
        </w:rPr>
        <w:t>,</w:t>
      </w:r>
      <w:r>
        <w:rPr>
          <w:rFonts w:cs="Arial"/>
        </w:rPr>
        <w:t xml:space="preserve"> whether </w:t>
      </w:r>
      <w:r w:rsidR="0028079C">
        <w:rPr>
          <w:rFonts w:cs="Arial"/>
        </w:rPr>
        <w:t>units</w:t>
      </w:r>
      <w:r>
        <w:rPr>
          <w:rFonts w:cs="Arial"/>
        </w:rPr>
        <w:t xml:space="preserve"> in</w:t>
      </w:r>
      <w:r w:rsidR="0028079C">
        <w:rPr>
          <w:rFonts w:cs="Arial"/>
        </w:rPr>
        <w:t xml:space="preserve"> the</w:t>
      </w:r>
      <w:r>
        <w:rPr>
          <w:rFonts w:cs="Arial"/>
        </w:rPr>
        <w:t xml:space="preserve"> NYCC extra care </w:t>
      </w:r>
      <w:r w:rsidR="0028079C">
        <w:rPr>
          <w:rFonts w:cs="Arial"/>
        </w:rPr>
        <w:t>schemes</w:t>
      </w:r>
      <w:r>
        <w:rPr>
          <w:rFonts w:cs="Arial"/>
        </w:rPr>
        <w:t xml:space="preserve"> should be excluded if evidence of need had been identified through local surveys.  To be considered further</w:t>
      </w:r>
      <w:r w:rsidR="00702BF6">
        <w:rPr>
          <w:rFonts w:cs="Arial"/>
        </w:rPr>
        <w:t xml:space="preserve"> and discussed with the Chief H</w:t>
      </w:r>
      <w:r w:rsidR="0028079C">
        <w:rPr>
          <w:rFonts w:cs="Arial"/>
        </w:rPr>
        <w:t>ousing Officers Group</w:t>
      </w:r>
      <w:r>
        <w:rPr>
          <w:rFonts w:cs="Arial"/>
        </w:rPr>
        <w:t xml:space="preserve">.  </w:t>
      </w:r>
      <w:r w:rsidR="0028079C">
        <w:rPr>
          <w:rFonts w:cs="Arial"/>
          <w:b/>
        </w:rPr>
        <w:t>(ACTION - SH</w:t>
      </w:r>
      <w:r>
        <w:rPr>
          <w:rFonts w:cs="Arial"/>
          <w:b/>
        </w:rPr>
        <w:t>)</w:t>
      </w:r>
    </w:p>
    <w:p w:rsidR="00D41F41" w:rsidRPr="00D41F41" w:rsidRDefault="00D41F41" w:rsidP="008F53E1">
      <w:pPr>
        <w:pStyle w:val="ListParagraph"/>
        <w:rPr>
          <w:rFonts w:cs="Arial"/>
          <w:b/>
        </w:rPr>
      </w:pPr>
    </w:p>
    <w:p w:rsidR="004A3483" w:rsidRPr="00776CA3" w:rsidRDefault="00D41F41" w:rsidP="00652F77">
      <w:pPr>
        <w:pStyle w:val="ListParagraph"/>
        <w:numPr>
          <w:ilvl w:val="0"/>
          <w:numId w:val="1"/>
        </w:numPr>
        <w:rPr>
          <w:rFonts w:cs="Arial"/>
          <w:b/>
        </w:rPr>
      </w:pPr>
      <w:r>
        <w:rPr>
          <w:rFonts w:cs="Arial"/>
          <w:b/>
        </w:rPr>
        <w:t>NY RHE Action Plan 15/16 outturn and new for 16/17</w:t>
      </w:r>
    </w:p>
    <w:p w:rsidR="003C3B76" w:rsidRDefault="00D41F41" w:rsidP="00D41F41">
      <w:pPr>
        <w:pStyle w:val="ListParagraph"/>
        <w:rPr>
          <w:rFonts w:cs="Arial"/>
        </w:rPr>
      </w:pPr>
      <w:r>
        <w:rPr>
          <w:rFonts w:cs="Arial"/>
        </w:rPr>
        <w:t xml:space="preserve">EG presented this report and advised that 90% of targets for 15/16 had been achieved. The 16/17 Plan had been drafted (including new targets on social media provision) and comments/suggestions are invited. </w:t>
      </w:r>
      <w:r w:rsidR="003C3B76">
        <w:rPr>
          <w:rFonts w:cs="Arial"/>
          <w:b/>
        </w:rPr>
        <w:t>(ACTION - ALL)</w:t>
      </w:r>
      <w:r>
        <w:rPr>
          <w:rFonts w:cs="Arial"/>
        </w:rPr>
        <w:t xml:space="preserve"> </w:t>
      </w:r>
    </w:p>
    <w:p w:rsidR="005E53E7" w:rsidRPr="008B5406" w:rsidRDefault="00D41F41" w:rsidP="00D41F41">
      <w:pPr>
        <w:pStyle w:val="ListParagraph"/>
        <w:rPr>
          <w:rFonts w:cs="Arial"/>
          <w:b/>
        </w:rPr>
      </w:pPr>
      <w:r>
        <w:rPr>
          <w:rFonts w:cs="Arial"/>
        </w:rPr>
        <w:t xml:space="preserve">SB queried the target on completions (stated as ‘at least’ 85 units) when monitoring report was </w:t>
      </w:r>
      <w:r w:rsidR="003C3B76">
        <w:rPr>
          <w:rFonts w:cs="Arial"/>
        </w:rPr>
        <w:t>forecasting</w:t>
      </w:r>
      <w:r>
        <w:rPr>
          <w:rFonts w:cs="Arial"/>
        </w:rPr>
        <w:t xml:space="preserve"> a </w:t>
      </w:r>
      <w:r w:rsidR="003C3B76">
        <w:rPr>
          <w:rFonts w:cs="Arial"/>
        </w:rPr>
        <w:t>higher figure</w:t>
      </w:r>
      <w:r>
        <w:rPr>
          <w:rFonts w:cs="Arial"/>
        </w:rPr>
        <w:t>.</w:t>
      </w:r>
      <w:r w:rsidR="0028079C">
        <w:rPr>
          <w:rFonts w:cs="Arial"/>
        </w:rPr>
        <w:t xml:space="preserve"> SH advised that this number had been increased to 100 on the inclusion of East Riding in the progra</w:t>
      </w:r>
      <w:r w:rsidR="00702BF6">
        <w:rPr>
          <w:rFonts w:cs="Arial"/>
        </w:rPr>
        <w:t>mme and that the figure would be</w:t>
      </w:r>
      <w:r w:rsidR="0028079C">
        <w:rPr>
          <w:rFonts w:cs="Arial"/>
        </w:rPr>
        <w:t xml:space="preserve"> updated in the action plan </w:t>
      </w:r>
      <w:r w:rsidR="00702BF6">
        <w:rPr>
          <w:rFonts w:cs="Arial"/>
          <w:b/>
        </w:rPr>
        <w:t>(ACTION</w:t>
      </w:r>
      <w:r w:rsidR="0028079C" w:rsidRPr="0028079C">
        <w:rPr>
          <w:rFonts w:cs="Arial"/>
          <w:b/>
        </w:rPr>
        <w:t xml:space="preserve"> – EG)</w:t>
      </w:r>
      <w:r>
        <w:rPr>
          <w:rFonts w:cs="Arial"/>
        </w:rPr>
        <w:t xml:space="preserve">   </w:t>
      </w:r>
    </w:p>
    <w:p w:rsidR="00C67DCC" w:rsidRPr="007C2908" w:rsidRDefault="00C67DCC" w:rsidP="00C3504C">
      <w:pPr>
        <w:pStyle w:val="BodyText"/>
        <w:tabs>
          <w:tab w:val="num" w:pos="709"/>
        </w:tabs>
        <w:outlineLvl w:val="0"/>
        <w:rPr>
          <w:rFonts w:cs="Arial"/>
          <w:color w:val="FF6600"/>
          <w:sz w:val="22"/>
          <w:szCs w:val="22"/>
        </w:rPr>
      </w:pPr>
    </w:p>
    <w:p w:rsidR="00AD7775" w:rsidRPr="00BC3842" w:rsidRDefault="00D639C8" w:rsidP="00BC3842">
      <w:pPr>
        <w:numPr>
          <w:ilvl w:val="0"/>
          <w:numId w:val="1"/>
        </w:numPr>
        <w:rPr>
          <w:rFonts w:cs="Arial"/>
          <w:b/>
        </w:rPr>
      </w:pPr>
      <w:r>
        <w:rPr>
          <w:rFonts w:cs="Arial"/>
          <w:b/>
        </w:rPr>
        <w:t>Community Led Housing – Funding Update</w:t>
      </w:r>
    </w:p>
    <w:p w:rsidR="00AD7775" w:rsidRPr="00D639C8" w:rsidRDefault="00D639C8" w:rsidP="00D639C8">
      <w:pPr>
        <w:ind w:left="720"/>
        <w:rPr>
          <w:rFonts w:cs="Arial"/>
          <w:b/>
        </w:rPr>
      </w:pPr>
      <w:r>
        <w:rPr>
          <w:rFonts w:cs="Arial"/>
        </w:rPr>
        <w:t>SH introduced this report and confirmed that the Network alongside Sally Thomas at North Star and latterly Rural Action Yorkshire</w:t>
      </w:r>
      <w:r w:rsidR="0028079C">
        <w:rPr>
          <w:rFonts w:cs="Arial"/>
        </w:rPr>
        <w:t xml:space="preserve"> (RAY)</w:t>
      </w:r>
      <w:r>
        <w:rPr>
          <w:rFonts w:cs="Arial"/>
        </w:rPr>
        <w:t xml:space="preserve"> were successful in bidding for £33,972 to fund research into the potential for community led housing in rural N and E Yorkshire.  RAY to be recipient of f</w:t>
      </w:r>
      <w:r w:rsidR="0028079C">
        <w:rPr>
          <w:rFonts w:cs="Arial"/>
        </w:rPr>
        <w:t>unds</w:t>
      </w:r>
      <w:r>
        <w:rPr>
          <w:rFonts w:cs="Arial"/>
        </w:rPr>
        <w:t>.  A specialist housing consultant will be appointed</w:t>
      </w:r>
      <w:r w:rsidR="0028079C">
        <w:rPr>
          <w:rFonts w:cs="Arial"/>
        </w:rPr>
        <w:t xml:space="preserve"> to undertake some of the work</w:t>
      </w:r>
      <w:r>
        <w:rPr>
          <w:rFonts w:cs="Arial"/>
        </w:rPr>
        <w:t xml:space="preserve">.  CS and JH agreed to </w:t>
      </w:r>
      <w:r w:rsidR="0028079C">
        <w:rPr>
          <w:rFonts w:cs="Arial"/>
        </w:rPr>
        <w:t xml:space="preserve">be part of the steering group for the </w:t>
      </w:r>
      <w:r>
        <w:rPr>
          <w:rFonts w:cs="Arial"/>
        </w:rPr>
        <w:t>project.  JW mentioned that emerging Neighbourhood Plans</w:t>
      </w:r>
      <w:r w:rsidR="00AD7775">
        <w:rPr>
          <w:rFonts w:cs="Arial"/>
        </w:rPr>
        <w:t xml:space="preserve"> </w:t>
      </w:r>
      <w:r>
        <w:rPr>
          <w:rFonts w:cs="Arial"/>
        </w:rPr>
        <w:t xml:space="preserve">and country estates both presented opportunities.  HF agreed to forward HCA list of potential groups.  </w:t>
      </w:r>
      <w:r>
        <w:rPr>
          <w:rFonts w:cs="Arial"/>
          <w:b/>
        </w:rPr>
        <w:t>(ACTION – HF)</w:t>
      </w:r>
    </w:p>
    <w:p w:rsidR="001D22A0" w:rsidRPr="00721F50" w:rsidRDefault="001D22A0" w:rsidP="008C6E3F">
      <w:pPr>
        <w:rPr>
          <w:rFonts w:cs="Arial"/>
        </w:rPr>
      </w:pPr>
    </w:p>
    <w:p w:rsidR="00D639C8" w:rsidRDefault="00D639C8" w:rsidP="00043DFD">
      <w:pPr>
        <w:numPr>
          <w:ilvl w:val="0"/>
          <w:numId w:val="1"/>
        </w:numPr>
        <w:rPr>
          <w:rFonts w:cs="Arial"/>
          <w:b/>
        </w:rPr>
      </w:pPr>
      <w:r>
        <w:rPr>
          <w:rFonts w:cs="Arial"/>
          <w:b/>
        </w:rPr>
        <w:t>Rural Revolving Land Bank Pilot</w:t>
      </w:r>
    </w:p>
    <w:p w:rsidR="00D639C8" w:rsidRPr="00D639C8" w:rsidRDefault="002D2B52" w:rsidP="00D639C8">
      <w:pPr>
        <w:ind w:left="720"/>
        <w:rPr>
          <w:rFonts w:cs="Arial"/>
        </w:rPr>
      </w:pPr>
      <w:r>
        <w:rPr>
          <w:rFonts w:cs="Arial"/>
        </w:rPr>
        <w:t>SH advised that Jo L</w:t>
      </w:r>
      <w:r w:rsidR="00D639C8">
        <w:rPr>
          <w:rFonts w:cs="Arial"/>
        </w:rPr>
        <w:t xml:space="preserve">avis has asked </w:t>
      </w:r>
      <w:r w:rsidR="0028079C">
        <w:rPr>
          <w:rFonts w:cs="Arial"/>
        </w:rPr>
        <w:t>NEY RHE Network to bid</w:t>
      </w:r>
      <w:r>
        <w:rPr>
          <w:rFonts w:cs="Arial"/>
        </w:rPr>
        <w:t xml:space="preserve"> </w:t>
      </w:r>
      <w:r w:rsidR="0028079C">
        <w:rPr>
          <w:rFonts w:cs="Arial"/>
        </w:rPr>
        <w:t>to be</w:t>
      </w:r>
      <w:r>
        <w:rPr>
          <w:rFonts w:cs="Arial"/>
        </w:rPr>
        <w:t xml:space="preserve"> </w:t>
      </w:r>
      <w:r w:rsidR="0028079C">
        <w:rPr>
          <w:rFonts w:cs="Arial"/>
        </w:rPr>
        <w:t>one of three</w:t>
      </w:r>
      <w:r>
        <w:rPr>
          <w:rFonts w:cs="Arial"/>
        </w:rPr>
        <w:t xml:space="preserve"> pilot</w:t>
      </w:r>
      <w:r w:rsidR="0028079C">
        <w:rPr>
          <w:rFonts w:cs="Arial"/>
        </w:rPr>
        <w:t xml:space="preserve"> areas</w:t>
      </w:r>
      <w:r>
        <w:rPr>
          <w:rFonts w:cs="Arial"/>
        </w:rPr>
        <w:t xml:space="preserve"> (alongside two others in Devon and Hampshire). LEP are interested as well.  Bid submitted to CLG/HCA to secure funds </w:t>
      </w:r>
      <w:r w:rsidR="0028079C">
        <w:rPr>
          <w:rFonts w:cs="Arial"/>
        </w:rPr>
        <w:t xml:space="preserve">(potentially from </w:t>
      </w:r>
      <w:r>
        <w:rPr>
          <w:rFonts w:cs="Arial"/>
        </w:rPr>
        <w:t>the £60m communities fund announced in the Budget</w:t>
      </w:r>
      <w:r w:rsidR="0028079C">
        <w:rPr>
          <w:rFonts w:cs="Arial"/>
        </w:rPr>
        <w:t>)</w:t>
      </w:r>
      <w:r>
        <w:rPr>
          <w:rFonts w:cs="Arial"/>
        </w:rPr>
        <w:t>.  Outcome awaited.</w:t>
      </w:r>
    </w:p>
    <w:p w:rsidR="00D639C8" w:rsidRDefault="00D639C8" w:rsidP="00D639C8">
      <w:pPr>
        <w:ind w:left="720"/>
        <w:rPr>
          <w:rFonts w:cs="Arial"/>
          <w:b/>
        </w:rPr>
      </w:pPr>
    </w:p>
    <w:p w:rsidR="002D2B52" w:rsidRDefault="002D2B52" w:rsidP="00043DFD">
      <w:pPr>
        <w:numPr>
          <w:ilvl w:val="0"/>
          <w:numId w:val="1"/>
        </w:numPr>
        <w:rPr>
          <w:rFonts w:cs="Arial"/>
          <w:b/>
        </w:rPr>
      </w:pPr>
      <w:r>
        <w:rPr>
          <w:rFonts w:cs="Arial"/>
          <w:b/>
        </w:rPr>
        <w:t>RHE Programme and Funding Review</w:t>
      </w:r>
    </w:p>
    <w:p w:rsidR="002D2B52" w:rsidRDefault="008F0F79" w:rsidP="002D2B52">
      <w:pPr>
        <w:ind w:left="720"/>
        <w:rPr>
          <w:rFonts w:cs="Arial"/>
        </w:rPr>
      </w:pPr>
      <w:r>
        <w:rPr>
          <w:rFonts w:cs="Arial"/>
        </w:rPr>
        <w:t>SH introduce</w:t>
      </w:r>
      <w:r w:rsidR="0028079C">
        <w:rPr>
          <w:rFonts w:cs="Arial"/>
        </w:rPr>
        <w:t>d this paper in the context of the</w:t>
      </w:r>
      <w:r>
        <w:rPr>
          <w:rFonts w:cs="Arial"/>
        </w:rPr>
        <w:t xml:space="preserve"> changing operating environment.  EG commented that it was uncertain </w:t>
      </w:r>
      <w:r w:rsidR="0028079C">
        <w:rPr>
          <w:rFonts w:cs="Arial"/>
        </w:rPr>
        <w:t>whether/how</w:t>
      </w:r>
      <w:r>
        <w:rPr>
          <w:rFonts w:cs="Arial"/>
        </w:rPr>
        <w:t xml:space="preserve"> the RHE Network will be able to charge for schemes developed by private developers (esp LCHO/starter homes).  JW speculated that housing needs service may decline in importance </w:t>
      </w:r>
      <w:r w:rsidR="0028079C">
        <w:rPr>
          <w:rFonts w:cs="Arial"/>
        </w:rPr>
        <w:t>but that</w:t>
      </w:r>
      <w:r>
        <w:rPr>
          <w:rFonts w:cs="Arial"/>
        </w:rPr>
        <w:t xml:space="preserve"> affordability</w:t>
      </w:r>
      <w:r w:rsidR="0028079C">
        <w:rPr>
          <w:rFonts w:cs="Arial"/>
        </w:rPr>
        <w:t>/demand</w:t>
      </w:r>
      <w:r>
        <w:rPr>
          <w:rFonts w:cs="Arial"/>
        </w:rPr>
        <w:t xml:space="preserve"> analys</w:t>
      </w:r>
      <w:r w:rsidR="0028079C">
        <w:rPr>
          <w:rFonts w:cs="Arial"/>
        </w:rPr>
        <w:t>i</w:t>
      </w:r>
      <w:r>
        <w:rPr>
          <w:rFonts w:cs="Arial"/>
        </w:rPr>
        <w:t>s</w:t>
      </w:r>
      <w:r w:rsidR="0028079C">
        <w:rPr>
          <w:rFonts w:cs="Arial"/>
        </w:rPr>
        <w:t xml:space="preserve"> might be a service which partners and private developers would be interested in</w:t>
      </w:r>
      <w:r>
        <w:rPr>
          <w:rFonts w:cs="Arial"/>
        </w:rPr>
        <w:t xml:space="preserve">. </w:t>
      </w:r>
      <w:r w:rsidR="004E7446">
        <w:rPr>
          <w:rFonts w:cs="Arial"/>
        </w:rPr>
        <w:t xml:space="preserve"> All agreed that the focus should be on the services we can offer to meet rural housing needs rather than just income maximisation.  SH suggested that diversifying services would help reduce disproportionate reliance on RP contributions.</w:t>
      </w:r>
    </w:p>
    <w:p w:rsidR="004E7446" w:rsidRPr="004E7446" w:rsidRDefault="004E7446" w:rsidP="002D2B52">
      <w:pPr>
        <w:ind w:left="720"/>
        <w:rPr>
          <w:rFonts w:cs="Arial"/>
          <w:b/>
        </w:rPr>
      </w:pPr>
      <w:r>
        <w:rPr>
          <w:rFonts w:cs="Arial"/>
        </w:rPr>
        <w:t>It was also agreed that there is currently a lot of uncertainty and HF suggested more consultation with stakeho</w:t>
      </w:r>
      <w:r w:rsidR="0028079C">
        <w:rPr>
          <w:rFonts w:cs="Arial"/>
        </w:rPr>
        <w:t>lders. Agreed to review again la</w:t>
      </w:r>
      <w:r>
        <w:rPr>
          <w:rFonts w:cs="Arial"/>
        </w:rPr>
        <w:t xml:space="preserve">ter in the year when there is more clarity on the operating environment.  </w:t>
      </w:r>
      <w:r>
        <w:rPr>
          <w:rFonts w:cs="Arial"/>
          <w:b/>
        </w:rPr>
        <w:t>(ACTION – SH)</w:t>
      </w:r>
    </w:p>
    <w:p w:rsidR="002D2B52" w:rsidRDefault="002D2B52" w:rsidP="002D2B52">
      <w:pPr>
        <w:ind w:left="720"/>
        <w:rPr>
          <w:rFonts w:cs="Arial"/>
          <w:b/>
        </w:rPr>
      </w:pPr>
    </w:p>
    <w:p w:rsidR="008C6E3F" w:rsidRDefault="00652F77" w:rsidP="00043DFD">
      <w:pPr>
        <w:numPr>
          <w:ilvl w:val="0"/>
          <w:numId w:val="1"/>
        </w:numPr>
        <w:rPr>
          <w:rFonts w:cs="Arial"/>
          <w:b/>
        </w:rPr>
      </w:pPr>
      <w:r w:rsidRPr="00477DF3">
        <w:rPr>
          <w:rFonts w:cs="Arial"/>
          <w:b/>
        </w:rPr>
        <w:t>HCA update</w:t>
      </w:r>
    </w:p>
    <w:p w:rsidR="007D1C92" w:rsidRDefault="007D1C92" w:rsidP="007D1C92">
      <w:pPr>
        <w:ind w:left="720"/>
        <w:rPr>
          <w:rFonts w:cs="Arial"/>
          <w:b/>
        </w:rPr>
      </w:pPr>
    </w:p>
    <w:p w:rsidR="007D1C92" w:rsidRPr="007D1C92" w:rsidRDefault="007D1C92" w:rsidP="007D1C92">
      <w:pPr>
        <w:ind w:left="720"/>
        <w:rPr>
          <w:rFonts w:cs="Arial"/>
        </w:rPr>
      </w:pPr>
      <w:r>
        <w:rPr>
          <w:rFonts w:cs="Arial"/>
        </w:rPr>
        <w:t>H</w:t>
      </w:r>
      <w:r w:rsidR="00FA15E6">
        <w:rPr>
          <w:rFonts w:cs="Arial"/>
        </w:rPr>
        <w:t xml:space="preserve">elen </w:t>
      </w:r>
      <w:r>
        <w:rPr>
          <w:rFonts w:cs="Arial"/>
        </w:rPr>
        <w:t>F</w:t>
      </w:r>
      <w:r w:rsidR="00FA15E6">
        <w:rPr>
          <w:rFonts w:cs="Arial"/>
        </w:rPr>
        <w:t xml:space="preserve">ielding </w:t>
      </w:r>
      <w:r>
        <w:rPr>
          <w:rFonts w:cs="Arial"/>
        </w:rPr>
        <w:t xml:space="preserve"> provided an update on</w:t>
      </w:r>
      <w:r w:rsidR="00FA15E6">
        <w:rPr>
          <w:rFonts w:cs="Arial"/>
        </w:rPr>
        <w:t xml:space="preserve"> the HCA programmes</w:t>
      </w:r>
      <w:r>
        <w:rPr>
          <w:rFonts w:cs="Arial"/>
        </w:rPr>
        <w:t xml:space="preserve"> as follows:</w:t>
      </w:r>
    </w:p>
    <w:p w:rsidR="007D1C92" w:rsidRDefault="007D1C92" w:rsidP="007D1C92">
      <w:pPr>
        <w:pStyle w:val="ListParagraph"/>
        <w:spacing w:before="100" w:beforeAutospacing="1" w:after="100" w:afterAutospacing="1"/>
        <w:rPr>
          <w:rFonts w:cs="Arial"/>
          <w:iCs/>
        </w:rPr>
      </w:pPr>
      <w:r w:rsidRPr="007D1C92">
        <w:rPr>
          <w:rFonts w:cs="Arial"/>
          <w:iCs/>
        </w:rPr>
        <w:t xml:space="preserve">(i)        Starter Homes - The £1.2bn Starter Home Land Fund  is underway with the opportunity for LAs for submit Expressions of Interest to form partnerships with HCA to bring forward land for </w:t>
      </w:r>
      <w:r w:rsidRPr="007D1C92">
        <w:rPr>
          <w:rFonts w:cs="Arial"/>
          <w:iCs/>
        </w:rPr>
        <w:lastRenderedPageBreak/>
        <w:t>Starter Homes development,</w:t>
      </w:r>
      <w:r>
        <w:rPr>
          <w:rFonts w:cs="Arial"/>
          <w:iCs/>
        </w:rPr>
        <w:t xml:space="preserve"> - </w:t>
      </w:r>
      <w:r w:rsidRPr="007D1C92">
        <w:rPr>
          <w:rFonts w:cs="Arial"/>
          <w:iCs/>
        </w:rPr>
        <w:t>deadline 13</w:t>
      </w:r>
      <w:r w:rsidRPr="007D1C92">
        <w:rPr>
          <w:rFonts w:cs="Arial"/>
          <w:iCs/>
          <w:vertAlign w:val="superscript"/>
        </w:rPr>
        <w:t>th</w:t>
      </w:r>
      <w:r w:rsidRPr="007D1C92">
        <w:rPr>
          <w:rFonts w:cs="Arial"/>
          <w:iCs/>
        </w:rPr>
        <w:t xml:space="preserve"> May.  Land is being aquired for remediation and de-risking on basis of modelling on a minimum of 50% starter home provision. Initial investment is </w:t>
      </w:r>
      <w:bookmarkStart w:id="0" w:name="_GoBack"/>
      <w:bookmarkEnd w:id="0"/>
      <w:r w:rsidRPr="007D1C92">
        <w:rPr>
          <w:rFonts w:cs="Arial"/>
          <w:iCs/>
        </w:rPr>
        <w:t>assumed to be recoverable.  Initial focus on town centre and transport hubs.  </w:t>
      </w:r>
    </w:p>
    <w:p w:rsidR="00FA15E6" w:rsidRDefault="007D1C92" w:rsidP="007D1C92">
      <w:pPr>
        <w:pStyle w:val="ListParagraph"/>
        <w:spacing w:before="100" w:beforeAutospacing="1" w:after="100" w:afterAutospacing="1"/>
        <w:rPr>
          <w:rFonts w:ascii="Times New Roman" w:hAnsi="Times New Roman"/>
        </w:rPr>
      </w:pPr>
      <w:r w:rsidRPr="007D1C92">
        <w:rPr>
          <w:rFonts w:cs="Arial"/>
          <w:iCs/>
        </w:rPr>
        <w:t>(ii)        Locally Led Garden villages, towns and cities initiative launched – Expressions of Interest by end of July</w:t>
      </w:r>
      <w:r w:rsidRPr="007D1C92">
        <w:rPr>
          <w:rFonts w:ascii="Times New Roman" w:hAnsi="Times New Roman"/>
        </w:rPr>
        <w:t xml:space="preserve"> </w:t>
      </w:r>
    </w:p>
    <w:p w:rsidR="00FA15E6" w:rsidRDefault="00FA15E6" w:rsidP="007D1C92">
      <w:pPr>
        <w:pStyle w:val="ListParagraph"/>
        <w:spacing w:before="100" w:beforeAutospacing="1" w:after="100" w:afterAutospacing="1"/>
        <w:rPr>
          <w:rFonts w:ascii="Times New Roman" w:hAnsi="Times New Roman"/>
        </w:rPr>
      </w:pPr>
      <w:r w:rsidRPr="007D1C92">
        <w:rPr>
          <w:rFonts w:cs="Arial"/>
          <w:iCs/>
        </w:rPr>
        <w:t xml:space="preserve"> </w:t>
      </w:r>
      <w:r w:rsidR="007D1C92" w:rsidRPr="007D1C92">
        <w:rPr>
          <w:rFonts w:cs="Arial"/>
          <w:iCs/>
        </w:rPr>
        <w:t>(iii)        Recoverable loan fund providing equity and development finance for private sector housebuilders shortly to be launched.</w:t>
      </w:r>
      <w:r w:rsidR="007D1C92" w:rsidRPr="007D1C92">
        <w:rPr>
          <w:rFonts w:ascii="Times New Roman" w:hAnsi="Times New Roman"/>
        </w:rPr>
        <w:t xml:space="preserve"> </w:t>
      </w:r>
    </w:p>
    <w:p w:rsidR="008F457B" w:rsidRPr="00FA15E6" w:rsidRDefault="00FA15E6" w:rsidP="00FA15E6">
      <w:pPr>
        <w:pStyle w:val="ListParagraph"/>
        <w:spacing w:before="100" w:beforeAutospacing="1" w:after="100" w:afterAutospacing="1"/>
        <w:rPr>
          <w:rFonts w:ascii="Times New Roman" w:hAnsi="Times New Roman"/>
        </w:rPr>
      </w:pPr>
      <w:r w:rsidRPr="007D1C92">
        <w:rPr>
          <w:rFonts w:cs="Arial"/>
          <w:iCs/>
        </w:rPr>
        <w:t xml:space="preserve"> </w:t>
      </w:r>
      <w:r w:rsidR="007D1C92" w:rsidRPr="007D1C92">
        <w:rPr>
          <w:rFonts w:cs="Arial"/>
          <w:iCs/>
        </w:rPr>
        <w:t>(iv)        Shared Ownership and Affordable Housing Prospectus published.  Initial bidding deadline is 2</w:t>
      </w:r>
      <w:r w:rsidR="007D1C92" w:rsidRPr="007D1C92">
        <w:rPr>
          <w:rFonts w:cs="Arial"/>
          <w:iCs/>
          <w:vertAlign w:val="superscript"/>
        </w:rPr>
        <w:t>nd</w:t>
      </w:r>
      <w:r w:rsidR="007D1C92" w:rsidRPr="007D1C92">
        <w:rPr>
          <w:rFonts w:cs="Arial"/>
          <w:iCs/>
        </w:rPr>
        <w:t xml:space="preserve"> September 2016.  £4bn to deliver SO (primarily) as well as Rent to Buy and specialist supported housing for elderly and vulnerable.  The prospectus is open to private market as well as RP’s.  Announcements on programme will be made in December.  For shared ownership max household income has been increased to £80k and local connection criteria have been relaxed.</w:t>
      </w:r>
      <w:r w:rsidR="007D1C92" w:rsidRPr="007D1C92">
        <w:rPr>
          <w:rFonts w:ascii="Times New Roman" w:hAnsi="Times New Roman"/>
        </w:rPr>
        <w:t xml:space="preserve"> </w:t>
      </w:r>
    </w:p>
    <w:p w:rsidR="00A123BD" w:rsidRDefault="00A123BD" w:rsidP="00BC3842">
      <w:pPr>
        <w:numPr>
          <w:ilvl w:val="0"/>
          <w:numId w:val="1"/>
        </w:numPr>
        <w:rPr>
          <w:rFonts w:cs="Arial"/>
          <w:b/>
        </w:rPr>
      </w:pPr>
      <w:r>
        <w:rPr>
          <w:rFonts w:cs="Arial"/>
          <w:b/>
        </w:rPr>
        <w:t>RHE Logo, Housing Needs Survey and follow up letters</w:t>
      </w:r>
    </w:p>
    <w:p w:rsidR="00A123BD" w:rsidRDefault="00A123BD" w:rsidP="00A123BD">
      <w:pPr>
        <w:pStyle w:val="ListParagraph"/>
        <w:numPr>
          <w:ilvl w:val="0"/>
          <w:numId w:val="10"/>
        </w:numPr>
        <w:rPr>
          <w:rFonts w:cs="Arial"/>
        </w:rPr>
      </w:pPr>
      <w:r>
        <w:rPr>
          <w:rFonts w:cs="Arial"/>
        </w:rPr>
        <w:t>RHE logo is now revised and in use</w:t>
      </w:r>
    </w:p>
    <w:p w:rsidR="00A123BD" w:rsidRPr="0028079C" w:rsidRDefault="00A123BD" w:rsidP="00A123BD">
      <w:pPr>
        <w:pStyle w:val="ListParagraph"/>
        <w:numPr>
          <w:ilvl w:val="0"/>
          <w:numId w:val="10"/>
        </w:numPr>
        <w:rPr>
          <w:rFonts w:cs="Arial"/>
        </w:rPr>
      </w:pPr>
      <w:r>
        <w:rPr>
          <w:rFonts w:cs="Arial"/>
        </w:rPr>
        <w:t xml:space="preserve">EW introduced revisions </w:t>
      </w:r>
      <w:r w:rsidR="0028079C">
        <w:rPr>
          <w:rFonts w:cs="Arial"/>
        </w:rPr>
        <w:t>to the housing needs survey</w:t>
      </w:r>
      <w:r>
        <w:rPr>
          <w:rFonts w:cs="Arial"/>
        </w:rPr>
        <w:t>.  This has emerged following discussions within the team; comparisons with HNS forms in other parts of the country</w:t>
      </w:r>
      <w:r w:rsidR="00FA7F2D">
        <w:rPr>
          <w:rFonts w:cs="Arial"/>
        </w:rPr>
        <w:t xml:space="preserve"> and in recognition of the need to make the form more relevant to LCHO options and reflect other changes (e</w:t>
      </w:r>
      <w:r w:rsidR="0028079C">
        <w:rPr>
          <w:rFonts w:cs="Arial"/>
        </w:rPr>
        <w:t>.</w:t>
      </w:r>
      <w:r w:rsidR="00FA7F2D">
        <w:rPr>
          <w:rFonts w:cs="Arial"/>
        </w:rPr>
        <w:t>g</w:t>
      </w:r>
      <w:r w:rsidR="0028079C">
        <w:rPr>
          <w:rFonts w:cs="Arial"/>
        </w:rPr>
        <w:t>.</w:t>
      </w:r>
      <w:r w:rsidR="00FA7F2D">
        <w:rPr>
          <w:rFonts w:cs="Arial"/>
        </w:rPr>
        <w:t xml:space="preserve"> self build).  Comments invited from the Network </w:t>
      </w:r>
      <w:r w:rsidR="00FA7F2D">
        <w:rPr>
          <w:rFonts w:cs="Arial"/>
          <w:b/>
        </w:rPr>
        <w:t>(ACTION – ALL)</w:t>
      </w:r>
    </w:p>
    <w:p w:rsidR="0028079C" w:rsidRPr="00A123BD" w:rsidRDefault="0028079C" w:rsidP="00A123BD">
      <w:pPr>
        <w:pStyle w:val="ListParagraph"/>
        <w:numPr>
          <w:ilvl w:val="0"/>
          <w:numId w:val="10"/>
        </w:numPr>
        <w:rPr>
          <w:rFonts w:cs="Arial"/>
        </w:rPr>
      </w:pPr>
      <w:r>
        <w:rPr>
          <w:rFonts w:cs="Arial"/>
        </w:rPr>
        <w:t xml:space="preserve">Reports to feedback to Parish Councils and standard letters etc. are also to be reviewed and further standardised across the patch </w:t>
      </w:r>
      <w:r w:rsidRPr="0028079C">
        <w:rPr>
          <w:rFonts w:cs="Arial"/>
          <w:b/>
        </w:rPr>
        <w:t>(Action – RHEs)</w:t>
      </w:r>
    </w:p>
    <w:p w:rsidR="00A123BD" w:rsidRDefault="00A123BD" w:rsidP="00A123BD">
      <w:pPr>
        <w:rPr>
          <w:rFonts w:cs="Arial"/>
          <w:b/>
        </w:rPr>
      </w:pPr>
    </w:p>
    <w:p w:rsidR="00FA7F2D" w:rsidRDefault="00FA7F2D" w:rsidP="00BC3842">
      <w:pPr>
        <w:numPr>
          <w:ilvl w:val="0"/>
          <w:numId w:val="1"/>
        </w:numPr>
        <w:rPr>
          <w:rFonts w:cs="Arial"/>
          <w:b/>
        </w:rPr>
      </w:pPr>
      <w:r>
        <w:rPr>
          <w:rFonts w:cs="Arial"/>
          <w:b/>
        </w:rPr>
        <w:t>RHE Event/Conference 29</w:t>
      </w:r>
      <w:r w:rsidRPr="00FA7F2D">
        <w:rPr>
          <w:rFonts w:cs="Arial"/>
          <w:b/>
          <w:vertAlign w:val="superscript"/>
        </w:rPr>
        <w:t>th</w:t>
      </w:r>
      <w:r>
        <w:rPr>
          <w:rFonts w:cs="Arial"/>
          <w:b/>
        </w:rPr>
        <w:t xml:space="preserve"> September 2016</w:t>
      </w:r>
    </w:p>
    <w:p w:rsidR="00FA7F2D" w:rsidRPr="00FA7F2D" w:rsidRDefault="00FA7F2D" w:rsidP="00FA7F2D">
      <w:pPr>
        <w:ind w:left="720"/>
        <w:rPr>
          <w:rFonts w:cs="Arial"/>
          <w:b/>
        </w:rPr>
      </w:pPr>
      <w:r>
        <w:rPr>
          <w:rFonts w:cs="Arial"/>
        </w:rPr>
        <w:t xml:space="preserve">SH advised that the plan is to hold this at Hutton Rudby Village Hall.  A </w:t>
      </w:r>
      <w:r w:rsidR="0028079C">
        <w:rPr>
          <w:rFonts w:cs="Arial"/>
        </w:rPr>
        <w:t>dignitary</w:t>
      </w:r>
      <w:r>
        <w:rPr>
          <w:rFonts w:cs="Arial"/>
        </w:rPr>
        <w:t xml:space="preserve"> has been invited (to be confirmed) who </w:t>
      </w:r>
      <w:r w:rsidR="0028079C">
        <w:rPr>
          <w:rFonts w:cs="Arial"/>
        </w:rPr>
        <w:t>may</w:t>
      </w:r>
      <w:r>
        <w:rPr>
          <w:rFonts w:cs="Arial"/>
        </w:rPr>
        <w:t xml:space="preserve"> open nearby scheme and other speakers are being lined up (Dr Alison Wallis</w:t>
      </w:r>
      <w:r w:rsidR="0028079C">
        <w:rPr>
          <w:rFonts w:cs="Arial"/>
        </w:rPr>
        <w:t>, Sarah Davis (CIH)</w:t>
      </w:r>
      <w:r>
        <w:rPr>
          <w:rFonts w:cs="Arial"/>
        </w:rPr>
        <w:t xml:space="preserve"> and Lord Best (tbc)).  If anyone has ideas or suggestions for speakers then let SH know </w:t>
      </w:r>
      <w:r>
        <w:rPr>
          <w:rFonts w:cs="Arial"/>
          <w:b/>
        </w:rPr>
        <w:t>(ACTION – ALL)</w:t>
      </w:r>
    </w:p>
    <w:p w:rsidR="00FA7F2D" w:rsidRDefault="00FA7F2D" w:rsidP="00FA7F2D">
      <w:pPr>
        <w:ind w:left="720"/>
        <w:rPr>
          <w:rFonts w:cs="Arial"/>
          <w:b/>
        </w:rPr>
      </w:pPr>
    </w:p>
    <w:p w:rsidR="00FA7F2D" w:rsidRDefault="00FA7F2D" w:rsidP="00BC3842">
      <w:pPr>
        <w:numPr>
          <w:ilvl w:val="0"/>
          <w:numId w:val="1"/>
        </w:numPr>
        <w:rPr>
          <w:rFonts w:cs="Arial"/>
          <w:b/>
        </w:rPr>
      </w:pPr>
      <w:r>
        <w:rPr>
          <w:rFonts w:cs="Arial"/>
          <w:b/>
        </w:rPr>
        <w:t>Report to YNYER Chief Officers and Housing Board May 2016</w:t>
      </w:r>
    </w:p>
    <w:p w:rsidR="00FA7F2D" w:rsidRPr="00FA7F2D" w:rsidRDefault="00FA7F2D" w:rsidP="00FA7F2D">
      <w:pPr>
        <w:ind w:left="720"/>
        <w:rPr>
          <w:rFonts w:cs="Arial"/>
        </w:rPr>
      </w:pPr>
      <w:r>
        <w:rPr>
          <w:rFonts w:cs="Arial"/>
        </w:rPr>
        <w:t>SH verbally reviewed the subject areas and all agreed in principle.</w:t>
      </w:r>
    </w:p>
    <w:p w:rsidR="00FA7F2D" w:rsidRDefault="00FA7F2D" w:rsidP="00FA7F2D">
      <w:pPr>
        <w:ind w:left="720"/>
        <w:rPr>
          <w:rFonts w:cs="Arial"/>
          <w:b/>
        </w:rPr>
      </w:pPr>
    </w:p>
    <w:p w:rsidR="00FA7F2D" w:rsidRDefault="00FA7F2D" w:rsidP="00BC3842">
      <w:pPr>
        <w:numPr>
          <w:ilvl w:val="0"/>
          <w:numId w:val="1"/>
        </w:numPr>
        <w:rPr>
          <w:rFonts w:cs="Arial"/>
          <w:b/>
        </w:rPr>
      </w:pPr>
      <w:r>
        <w:rPr>
          <w:rFonts w:cs="Arial"/>
          <w:b/>
        </w:rPr>
        <w:t>Any Other Business</w:t>
      </w:r>
    </w:p>
    <w:p w:rsidR="00FA7F2D" w:rsidRPr="00FA7F2D" w:rsidRDefault="0028079C" w:rsidP="00FA7F2D">
      <w:pPr>
        <w:ind w:left="720"/>
        <w:rPr>
          <w:rFonts w:cs="Arial"/>
        </w:rPr>
      </w:pPr>
      <w:r>
        <w:rPr>
          <w:rFonts w:cs="Arial"/>
        </w:rPr>
        <w:t>JH looking for good practic</w:t>
      </w:r>
      <w:r w:rsidR="00FA7F2D">
        <w:rPr>
          <w:rFonts w:cs="Arial"/>
        </w:rPr>
        <w:t xml:space="preserve">e examples for any estate led project.  Other than Duncombe Park, Broughton Hall and Swinton were mentioned.  </w:t>
      </w:r>
      <w:r w:rsidR="006160F4">
        <w:rPr>
          <w:rFonts w:cs="Arial"/>
        </w:rPr>
        <w:t xml:space="preserve">JH also asked about homes in estate ownership where is would be very difficult/costly to bring up to the new EPC standards. </w:t>
      </w:r>
      <w:r w:rsidR="00FA7F2D">
        <w:rPr>
          <w:rFonts w:cs="Arial"/>
        </w:rPr>
        <w:t>SH suggested getting in touch wi</w:t>
      </w:r>
      <w:r w:rsidR="006160F4">
        <w:rPr>
          <w:rFonts w:cs="Arial"/>
        </w:rPr>
        <w:t xml:space="preserve">th Private Sector Housing Group and Diana Bland from National Energy Action </w:t>
      </w:r>
      <w:r w:rsidR="00702BF6">
        <w:rPr>
          <w:rFonts w:cs="Arial"/>
          <w:b/>
        </w:rPr>
        <w:t>(ACTION</w:t>
      </w:r>
      <w:r w:rsidR="006160F4" w:rsidRPr="006160F4">
        <w:rPr>
          <w:rFonts w:cs="Arial"/>
          <w:b/>
        </w:rPr>
        <w:t xml:space="preserve"> – SH)</w:t>
      </w:r>
    </w:p>
    <w:p w:rsidR="00652F77" w:rsidRPr="00BC3842" w:rsidRDefault="00652F77" w:rsidP="00FA7F2D">
      <w:pPr>
        <w:rPr>
          <w:rFonts w:cs="Arial"/>
          <w:b/>
        </w:rPr>
      </w:pPr>
    </w:p>
    <w:p w:rsidR="00DA4F95" w:rsidRPr="00721F50" w:rsidRDefault="00652F77" w:rsidP="00DA4F95">
      <w:pPr>
        <w:numPr>
          <w:ilvl w:val="0"/>
          <w:numId w:val="1"/>
        </w:numPr>
        <w:rPr>
          <w:rFonts w:cs="Arial"/>
          <w:b/>
        </w:rPr>
      </w:pPr>
      <w:r w:rsidRPr="00721F50">
        <w:rPr>
          <w:rFonts w:cs="Arial"/>
          <w:b/>
        </w:rPr>
        <w:t>Date/Venue of Next Meeting</w:t>
      </w:r>
    </w:p>
    <w:p w:rsidR="008C6E3F" w:rsidRPr="00BA2115" w:rsidRDefault="00E37BE4" w:rsidP="006160F4">
      <w:pPr>
        <w:ind w:left="720"/>
        <w:rPr>
          <w:rFonts w:cs="Arial"/>
        </w:rPr>
      </w:pPr>
      <w:r>
        <w:rPr>
          <w:rFonts w:cs="Arial"/>
        </w:rPr>
        <w:t>The next meeting has been scheduled for</w:t>
      </w:r>
      <w:r w:rsidR="00BC3842" w:rsidRPr="00BA2115">
        <w:rPr>
          <w:rFonts w:cs="Arial"/>
        </w:rPr>
        <w:t xml:space="preserve"> </w:t>
      </w:r>
      <w:r w:rsidR="00DA4F95" w:rsidRPr="00BA2115">
        <w:rPr>
          <w:rFonts w:cs="Arial"/>
        </w:rPr>
        <w:t xml:space="preserve">Weds </w:t>
      </w:r>
      <w:r w:rsidR="00FA7F2D">
        <w:rPr>
          <w:rFonts w:cs="Arial"/>
        </w:rPr>
        <w:t>31</w:t>
      </w:r>
      <w:r w:rsidR="00FA7F2D" w:rsidRPr="00FA7F2D">
        <w:rPr>
          <w:rFonts w:cs="Arial"/>
          <w:vertAlign w:val="superscript"/>
        </w:rPr>
        <w:t>st</w:t>
      </w:r>
      <w:r w:rsidR="006160F4">
        <w:rPr>
          <w:rFonts w:cs="Arial"/>
        </w:rPr>
        <w:t xml:space="preserve"> August</w:t>
      </w:r>
      <w:r w:rsidR="005C5139" w:rsidRPr="00BA2115">
        <w:rPr>
          <w:rFonts w:cs="Arial"/>
        </w:rPr>
        <w:t xml:space="preserve"> 2016</w:t>
      </w:r>
      <w:r w:rsidR="00BE1F4A" w:rsidRPr="00BA2115">
        <w:rPr>
          <w:rFonts w:cs="Arial"/>
        </w:rPr>
        <w:t xml:space="preserve"> at </w:t>
      </w:r>
      <w:r w:rsidR="00FA7F2D">
        <w:rPr>
          <w:rFonts w:cs="Arial"/>
        </w:rPr>
        <w:t>Hambleton DC’s</w:t>
      </w:r>
      <w:r w:rsidR="00BC3842" w:rsidRPr="00BA2115">
        <w:rPr>
          <w:rFonts w:cs="Arial"/>
        </w:rPr>
        <w:t xml:space="preserve"> offices</w:t>
      </w:r>
      <w:r w:rsidR="006160F4">
        <w:rPr>
          <w:rFonts w:cs="Arial"/>
        </w:rPr>
        <w:t xml:space="preserve"> b</w:t>
      </w:r>
      <w:r>
        <w:rPr>
          <w:rFonts w:cs="Arial"/>
        </w:rPr>
        <w:t>ut g</w:t>
      </w:r>
      <w:r w:rsidR="00FA7F2D">
        <w:rPr>
          <w:rFonts w:cs="Arial"/>
        </w:rPr>
        <w:t>iven the likelihood of this clashing with holidays it may be moved to the following Wednesday</w:t>
      </w:r>
      <w:r w:rsidR="009A5887">
        <w:rPr>
          <w:rFonts w:cs="Arial"/>
        </w:rPr>
        <w:t xml:space="preserve">.  </w:t>
      </w:r>
      <w:r w:rsidR="006160F4">
        <w:rPr>
          <w:rFonts w:cs="Arial"/>
          <w:b/>
        </w:rPr>
        <w:t>SH to</w:t>
      </w:r>
      <w:r w:rsidR="009A5887" w:rsidRPr="00E37BE4">
        <w:rPr>
          <w:rFonts w:cs="Arial"/>
          <w:b/>
        </w:rPr>
        <w:t xml:space="preserve"> co</w:t>
      </w:r>
      <w:r w:rsidR="00FA7F2D" w:rsidRPr="00E37BE4">
        <w:rPr>
          <w:rFonts w:cs="Arial"/>
          <w:b/>
        </w:rPr>
        <w:t>nfirm</w:t>
      </w:r>
      <w:r w:rsidR="009A5887">
        <w:rPr>
          <w:rFonts w:cs="Arial"/>
        </w:rPr>
        <w:t>.</w:t>
      </w:r>
      <w:r w:rsidR="00BE1F4A" w:rsidRPr="00BA2115">
        <w:rPr>
          <w:rFonts w:cs="Arial"/>
        </w:rPr>
        <w:t xml:space="preserve"> </w:t>
      </w:r>
      <w:r w:rsidR="008C6E3F" w:rsidRPr="00BA2115">
        <w:rPr>
          <w:rFonts w:cs="Arial"/>
        </w:rPr>
        <w:tab/>
      </w:r>
    </w:p>
    <w:sectPr w:rsidR="008C6E3F" w:rsidRPr="00BA2115" w:rsidSect="00C3504C">
      <w:footerReference w:type="even"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0E" w:rsidRDefault="00886C0E">
      <w:r>
        <w:separator/>
      </w:r>
    </w:p>
  </w:endnote>
  <w:endnote w:type="continuationSeparator" w:id="0">
    <w:p w:rsidR="00886C0E" w:rsidRDefault="008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E4" w:rsidRDefault="00303A4C" w:rsidP="006E264E">
    <w:pPr>
      <w:pStyle w:val="Footer"/>
      <w:framePr w:wrap="auto" w:vAnchor="text" w:hAnchor="margin" w:xAlign="center" w:y="1"/>
      <w:rPr>
        <w:rStyle w:val="PageNumber"/>
      </w:rPr>
    </w:pPr>
    <w:r>
      <w:rPr>
        <w:rStyle w:val="PageNumber"/>
      </w:rPr>
      <w:fldChar w:fldCharType="begin"/>
    </w:r>
    <w:r w:rsidR="00E37BE4">
      <w:rPr>
        <w:rStyle w:val="PageNumber"/>
      </w:rPr>
      <w:instrText xml:space="preserve">PAGE  </w:instrText>
    </w:r>
    <w:r>
      <w:rPr>
        <w:rStyle w:val="PageNumber"/>
      </w:rPr>
      <w:fldChar w:fldCharType="end"/>
    </w:r>
  </w:p>
  <w:p w:rsidR="00E37BE4" w:rsidRDefault="00E3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E4" w:rsidRDefault="00303A4C" w:rsidP="006E264E">
    <w:pPr>
      <w:pStyle w:val="Footer"/>
      <w:framePr w:wrap="auto" w:vAnchor="text" w:hAnchor="margin" w:xAlign="center" w:y="1"/>
      <w:rPr>
        <w:rStyle w:val="PageNumber"/>
      </w:rPr>
    </w:pPr>
    <w:r>
      <w:rPr>
        <w:rStyle w:val="PageNumber"/>
      </w:rPr>
      <w:fldChar w:fldCharType="begin"/>
    </w:r>
    <w:r w:rsidR="00E37BE4">
      <w:rPr>
        <w:rStyle w:val="PageNumber"/>
      </w:rPr>
      <w:instrText xml:space="preserve">PAGE  </w:instrText>
    </w:r>
    <w:r>
      <w:rPr>
        <w:rStyle w:val="PageNumber"/>
      </w:rPr>
      <w:fldChar w:fldCharType="separate"/>
    </w:r>
    <w:r w:rsidR="00D53D25">
      <w:rPr>
        <w:rStyle w:val="PageNumber"/>
        <w:noProof/>
      </w:rPr>
      <w:t>2</w:t>
    </w:r>
    <w:r>
      <w:rPr>
        <w:rStyle w:val="PageNumber"/>
      </w:rPr>
      <w:fldChar w:fldCharType="end"/>
    </w:r>
  </w:p>
  <w:p w:rsidR="00E37BE4" w:rsidRDefault="00E3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0E" w:rsidRDefault="00886C0E">
      <w:r>
        <w:separator/>
      </w:r>
    </w:p>
  </w:footnote>
  <w:footnote w:type="continuationSeparator" w:id="0">
    <w:p w:rsidR="00886C0E" w:rsidRDefault="0088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A9F"/>
    <w:multiLevelType w:val="hybridMultilevel"/>
    <w:tmpl w:val="EE56F3CE"/>
    <w:lvl w:ilvl="0" w:tplc="2884A846">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A53C6"/>
    <w:multiLevelType w:val="hybridMultilevel"/>
    <w:tmpl w:val="2B9668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A89322E"/>
    <w:multiLevelType w:val="hybridMultilevel"/>
    <w:tmpl w:val="9B684B2A"/>
    <w:lvl w:ilvl="0" w:tplc="6E5062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4091FD2"/>
    <w:multiLevelType w:val="hybridMultilevel"/>
    <w:tmpl w:val="FBC20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AE55AD0"/>
    <w:multiLevelType w:val="hybridMultilevel"/>
    <w:tmpl w:val="68E81E6C"/>
    <w:lvl w:ilvl="0" w:tplc="CCF684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79A508A"/>
    <w:multiLevelType w:val="hybridMultilevel"/>
    <w:tmpl w:val="0CBA8E9E"/>
    <w:lvl w:ilvl="0" w:tplc="7CCC1B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E323FBB"/>
    <w:multiLevelType w:val="hybridMultilevel"/>
    <w:tmpl w:val="786401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78C57CFE"/>
    <w:multiLevelType w:val="hybridMultilevel"/>
    <w:tmpl w:val="E5AA4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8E75DE"/>
    <w:multiLevelType w:val="multilevel"/>
    <w:tmpl w:val="9826737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E2A731A"/>
    <w:multiLevelType w:val="hybridMultilevel"/>
    <w:tmpl w:val="D9484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3"/>
  </w:num>
  <w:num w:numId="6">
    <w:abstractNumId w:val="0"/>
  </w:num>
  <w:num w:numId="7">
    <w:abstractNumId w:val="6"/>
  </w:num>
  <w:num w:numId="8">
    <w:abstractNumId w:val="4"/>
  </w:num>
  <w:num w:numId="9">
    <w:abstractNumId w:val="2"/>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86478"/>
    <w:rsid w:val="00016C83"/>
    <w:rsid w:val="00021BCC"/>
    <w:rsid w:val="00022936"/>
    <w:rsid w:val="00023FBE"/>
    <w:rsid w:val="0002611A"/>
    <w:rsid w:val="00026A4E"/>
    <w:rsid w:val="000336A3"/>
    <w:rsid w:val="000343E8"/>
    <w:rsid w:val="00036E9E"/>
    <w:rsid w:val="00037F3E"/>
    <w:rsid w:val="000418E7"/>
    <w:rsid w:val="00043DFD"/>
    <w:rsid w:val="0004496A"/>
    <w:rsid w:val="000451DD"/>
    <w:rsid w:val="00052916"/>
    <w:rsid w:val="00052F68"/>
    <w:rsid w:val="00056FB2"/>
    <w:rsid w:val="000615A6"/>
    <w:rsid w:val="00065EBF"/>
    <w:rsid w:val="00067E16"/>
    <w:rsid w:val="00070EF4"/>
    <w:rsid w:val="00087AF2"/>
    <w:rsid w:val="000903A9"/>
    <w:rsid w:val="00090513"/>
    <w:rsid w:val="00092BD5"/>
    <w:rsid w:val="0009413A"/>
    <w:rsid w:val="00097EA4"/>
    <w:rsid w:val="000A505F"/>
    <w:rsid w:val="000B7232"/>
    <w:rsid w:val="000C684D"/>
    <w:rsid w:val="000C6EDE"/>
    <w:rsid w:val="000D017D"/>
    <w:rsid w:val="000D5D90"/>
    <w:rsid w:val="000F1F61"/>
    <w:rsid w:val="000F3BD9"/>
    <w:rsid w:val="000F4C3E"/>
    <w:rsid w:val="000F7E6A"/>
    <w:rsid w:val="00103187"/>
    <w:rsid w:val="00103A75"/>
    <w:rsid w:val="001116C3"/>
    <w:rsid w:val="0011620D"/>
    <w:rsid w:val="00124149"/>
    <w:rsid w:val="00126C58"/>
    <w:rsid w:val="00127B01"/>
    <w:rsid w:val="00131871"/>
    <w:rsid w:val="001320A7"/>
    <w:rsid w:val="0013701B"/>
    <w:rsid w:val="00145859"/>
    <w:rsid w:val="00145AD3"/>
    <w:rsid w:val="00145B9A"/>
    <w:rsid w:val="00146DC8"/>
    <w:rsid w:val="00153477"/>
    <w:rsid w:val="00155B2D"/>
    <w:rsid w:val="00156F8D"/>
    <w:rsid w:val="0015738A"/>
    <w:rsid w:val="00162A0E"/>
    <w:rsid w:val="00163DD5"/>
    <w:rsid w:val="00164D23"/>
    <w:rsid w:val="0017121D"/>
    <w:rsid w:val="00183095"/>
    <w:rsid w:val="00187E49"/>
    <w:rsid w:val="001943D7"/>
    <w:rsid w:val="00194F43"/>
    <w:rsid w:val="001A0912"/>
    <w:rsid w:val="001A5625"/>
    <w:rsid w:val="001A6F6B"/>
    <w:rsid w:val="001B05EA"/>
    <w:rsid w:val="001B4457"/>
    <w:rsid w:val="001B4E31"/>
    <w:rsid w:val="001B5FA6"/>
    <w:rsid w:val="001C0FE9"/>
    <w:rsid w:val="001C52A0"/>
    <w:rsid w:val="001C5DD1"/>
    <w:rsid w:val="001D22A0"/>
    <w:rsid w:val="001D40AA"/>
    <w:rsid w:val="001E3AD0"/>
    <w:rsid w:val="001E54CB"/>
    <w:rsid w:val="001F76E7"/>
    <w:rsid w:val="002001E4"/>
    <w:rsid w:val="00200ADB"/>
    <w:rsid w:val="00202CC5"/>
    <w:rsid w:val="002053A7"/>
    <w:rsid w:val="00211EDA"/>
    <w:rsid w:val="002171B7"/>
    <w:rsid w:val="0022518F"/>
    <w:rsid w:val="002319B5"/>
    <w:rsid w:val="00232FFC"/>
    <w:rsid w:val="002330F3"/>
    <w:rsid w:val="00234551"/>
    <w:rsid w:val="00240DDD"/>
    <w:rsid w:val="00244635"/>
    <w:rsid w:val="00245276"/>
    <w:rsid w:val="00245336"/>
    <w:rsid w:val="0024681B"/>
    <w:rsid w:val="00253F18"/>
    <w:rsid w:val="00254CDC"/>
    <w:rsid w:val="0025539E"/>
    <w:rsid w:val="00260779"/>
    <w:rsid w:val="0026518A"/>
    <w:rsid w:val="0026678B"/>
    <w:rsid w:val="0026718B"/>
    <w:rsid w:val="002747EA"/>
    <w:rsid w:val="002764AD"/>
    <w:rsid w:val="002770EC"/>
    <w:rsid w:val="0028079C"/>
    <w:rsid w:val="002909F4"/>
    <w:rsid w:val="00294FFE"/>
    <w:rsid w:val="00297795"/>
    <w:rsid w:val="002A2B10"/>
    <w:rsid w:val="002A4D24"/>
    <w:rsid w:val="002A5C21"/>
    <w:rsid w:val="002A5FDF"/>
    <w:rsid w:val="002A68A3"/>
    <w:rsid w:val="002B5A2E"/>
    <w:rsid w:val="002B694E"/>
    <w:rsid w:val="002C0CBC"/>
    <w:rsid w:val="002C0FCD"/>
    <w:rsid w:val="002C7C99"/>
    <w:rsid w:val="002D2B52"/>
    <w:rsid w:val="002E3C3E"/>
    <w:rsid w:val="002E4EE3"/>
    <w:rsid w:val="002E6884"/>
    <w:rsid w:val="002E6FFB"/>
    <w:rsid w:val="002E72E6"/>
    <w:rsid w:val="002F537F"/>
    <w:rsid w:val="00303A4C"/>
    <w:rsid w:val="00304E9A"/>
    <w:rsid w:val="003119A8"/>
    <w:rsid w:val="00312FD6"/>
    <w:rsid w:val="00313639"/>
    <w:rsid w:val="00315C55"/>
    <w:rsid w:val="00323DB5"/>
    <w:rsid w:val="00327045"/>
    <w:rsid w:val="00330686"/>
    <w:rsid w:val="003322C6"/>
    <w:rsid w:val="00335F93"/>
    <w:rsid w:val="00336944"/>
    <w:rsid w:val="0033799C"/>
    <w:rsid w:val="00340FE6"/>
    <w:rsid w:val="0034451F"/>
    <w:rsid w:val="003449C6"/>
    <w:rsid w:val="00347D16"/>
    <w:rsid w:val="003549A7"/>
    <w:rsid w:val="00357C09"/>
    <w:rsid w:val="00360B7D"/>
    <w:rsid w:val="00362A72"/>
    <w:rsid w:val="00363C56"/>
    <w:rsid w:val="00373468"/>
    <w:rsid w:val="003809BF"/>
    <w:rsid w:val="00380EBD"/>
    <w:rsid w:val="00382A90"/>
    <w:rsid w:val="00396C81"/>
    <w:rsid w:val="003A6B70"/>
    <w:rsid w:val="003B46EC"/>
    <w:rsid w:val="003C2B46"/>
    <w:rsid w:val="003C3B76"/>
    <w:rsid w:val="003D08C5"/>
    <w:rsid w:val="003D3C5E"/>
    <w:rsid w:val="003D3F41"/>
    <w:rsid w:val="003E11C5"/>
    <w:rsid w:val="003F2EE6"/>
    <w:rsid w:val="003F4253"/>
    <w:rsid w:val="003F42A7"/>
    <w:rsid w:val="003F51B8"/>
    <w:rsid w:val="004002BF"/>
    <w:rsid w:val="004027A5"/>
    <w:rsid w:val="004051C0"/>
    <w:rsid w:val="004056A2"/>
    <w:rsid w:val="004115F0"/>
    <w:rsid w:val="004130F0"/>
    <w:rsid w:val="00415260"/>
    <w:rsid w:val="004242FC"/>
    <w:rsid w:val="004262CE"/>
    <w:rsid w:val="00431E75"/>
    <w:rsid w:val="00435DC4"/>
    <w:rsid w:val="00437E13"/>
    <w:rsid w:val="00441D70"/>
    <w:rsid w:val="0044466B"/>
    <w:rsid w:val="0045088B"/>
    <w:rsid w:val="00452957"/>
    <w:rsid w:val="00457683"/>
    <w:rsid w:val="004627AA"/>
    <w:rsid w:val="00471B97"/>
    <w:rsid w:val="00476266"/>
    <w:rsid w:val="00477DF3"/>
    <w:rsid w:val="004821EC"/>
    <w:rsid w:val="00482AAD"/>
    <w:rsid w:val="00482B77"/>
    <w:rsid w:val="004A1996"/>
    <w:rsid w:val="004A3483"/>
    <w:rsid w:val="004A4B94"/>
    <w:rsid w:val="004B0F9C"/>
    <w:rsid w:val="004B19F3"/>
    <w:rsid w:val="004C050E"/>
    <w:rsid w:val="004C348E"/>
    <w:rsid w:val="004D0A62"/>
    <w:rsid w:val="004D1326"/>
    <w:rsid w:val="004D2E5D"/>
    <w:rsid w:val="004D5006"/>
    <w:rsid w:val="004D5641"/>
    <w:rsid w:val="004E18EB"/>
    <w:rsid w:val="004E20B3"/>
    <w:rsid w:val="004E7446"/>
    <w:rsid w:val="004F09AF"/>
    <w:rsid w:val="0050329E"/>
    <w:rsid w:val="00505286"/>
    <w:rsid w:val="00505924"/>
    <w:rsid w:val="005326F0"/>
    <w:rsid w:val="005338D8"/>
    <w:rsid w:val="00540AC6"/>
    <w:rsid w:val="00545221"/>
    <w:rsid w:val="00550F88"/>
    <w:rsid w:val="00553FAB"/>
    <w:rsid w:val="005564A5"/>
    <w:rsid w:val="00560DD7"/>
    <w:rsid w:val="00565AB7"/>
    <w:rsid w:val="005756CB"/>
    <w:rsid w:val="00577DD5"/>
    <w:rsid w:val="005859A5"/>
    <w:rsid w:val="00586331"/>
    <w:rsid w:val="00587FD5"/>
    <w:rsid w:val="00590C97"/>
    <w:rsid w:val="00597169"/>
    <w:rsid w:val="005A69ED"/>
    <w:rsid w:val="005A7AC0"/>
    <w:rsid w:val="005C0551"/>
    <w:rsid w:val="005C0EE2"/>
    <w:rsid w:val="005C21C1"/>
    <w:rsid w:val="005C5139"/>
    <w:rsid w:val="005E0285"/>
    <w:rsid w:val="005E1634"/>
    <w:rsid w:val="005E3A7F"/>
    <w:rsid w:val="005E53E7"/>
    <w:rsid w:val="005E55FE"/>
    <w:rsid w:val="005F2039"/>
    <w:rsid w:val="005F7E09"/>
    <w:rsid w:val="00610F21"/>
    <w:rsid w:val="00611152"/>
    <w:rsid w:val="00611A13"/>
    <w:rsid w:val="00614905"/>
    <w:rsid w:val="006160F4"/>
    <w:rsid w:val="006168A5"/>
    <w:rsid w:val="00617FE0"/>
    <w:rsid w:val="00621530"/>
    <w:rsid w:val="006232B0"/>
    <w:rsid w:val="006255A4"/>
    <w:rsid w:val="00627622"/>
    <w:rsid w:val="00633A9D"/>
    <w:rsid w:val="00647001"/>
    <w:rsid w:val="00652F77"/>
    <w:rsid w:val="0066041E"/>
    <w:rsid w:val="00664946"/>
    <w:rsid w:val="006659A3"/>
    <w:rsid w:val="006703FE"/>
    <w:rsid w:val="00670DB0"/>
    <w:rsid w:val="00671E87"/>
    <w:rsid w:val="0067490A"/>
    <w:rsid w:val="00675CA2"/>
    <w:rsid w:val="00676421"/>
    <w:rsid w:val="00692388"/>
    <w:rsid w:val="0069752E"/>
    <w:rsid w:val="00697993"/>
    <w:rsid w:val="006A2038"/>
    <w:rsid w:val="006A54F1"/>
    <w:rsid w:val="006A765A"/>
    <w:rsid w:val="006A7C0C"/>
    <w:rsid w:val="006B0B13"/>
    <w:rsid w:val="006B518C"/>
    <w:rsid w:val="006C04B2"/>
    <w:rsid w:val="006C2189"/>
    <w:rsid w:val="006C7095"/>
    <w:rsid w:val="006D1D2B"/>
    <w:rsid w:val="006D303D"/>
    <w:rsid w:val="006D3711"/>
    <w:rsid w:val="006D476D"/>
    <w:rsid w:val="006E264E"/>
    <w:rsid w:val="006E2F11"/>
    <w:rsid w:val="006E518B"/>
    <w:rsid w:val="006E7DAC"/>
    <w:rsid w:val="006F15DF"/>
    <w:rsid w:val="006F7161"/>
    <w:rsid w:val="0070013F"/>
    <w:rsid w:val="00702BF6"/>
    <w:rsid w:val="00703DBB"/>
    <w:rsid w:val="00705FEC"/>
    <w:rsid w:val="007074E6"/>
    <w:rsid w:val="0071088C"/>
    <w:rsid w:val="00710DE6"/>
    <w:rsid w:val="007111F4"/>
    <w:rsid w:val="007158DB"/>
    <w:rsid w:val="00715B98"/>
    <w:rsid w:val="00715C3E"/>
    <w:rsid w:val="007162E6"/>
    <w:rsid w:val="007168C8"/>
    <w:rsid w:val="00716CE7"/>
    <w:rsid w:val="0072195A"/>
    <w:rsid w:val="00721F50"/>
    <w:rsid w:val="00723834"/>
    <w:rsid w:val="00725029"/>
    <w:rsid w:val="00730FD1"/>
    <w:rsid w:val="007322C9"/>
    <w:rsid w:val="00734ADB"/>
    <w:rsid w:val="007370AE"/>
    <w:rsid w:val="00737908"/>
    <w:rsid w:val="00740DF8"/>
    <w:rsid w:val="00741D0D"/>
    <w:rsid w:val="00746D4C"/>
    <w:rsid w:val="00747ACA"/>
    <w:rsid w:val="00750906"/>
    <w:rsid w:val="00750C93"/>
    <w:rsid w:val="007525B5"/>
    <w:rsid w:val="007549E0"/>
    <w:rsid w:val="00760EE3"/>
    <w:rsid w:val="007637F8"/>
    <w:rsid w:val="007642F6"/>
    <w:rsid w:val="0077184A"/>
    <w:rsid w:val="00772C76"/>
    <w:rsid w:val="00775868"/>
    <w:rsid w:val="007764DF"/>
    <w:rsid w:val="00776CA3"/>
    <w:rsid w:val="007772AE"/>
    <w:rsid w:val="007857E3"/>
    <w:rsid w:val="00787656"/>
    <w:rsid w:val="00790041"/>
    <w:rsid w:val="00793697"/>
    <w:rsid w:val="0079500A"/>
    <w:rsid w:val="007968E8"/>
    <w:rsid w:val="00797C93"/>
    <w:rsid w:val="007A4C75"/>
    <w:rsid w:val="007B0DBF"/>
    <w:rsid w:val="007B1379"/>
    <w:rsid w:val="007B5784"/>
    <w:rsid w:val="007C2908"/>
    <w:rsid w:val="007C30D3"/>
    <w:rsid w:val="007D1C92"/>
    <w:rsid w:val="007E476A"/>
    <w:rsid w:val="007E7E26"/>
    <w:rsid w:val="007F3809"/>
    <w:rsid w:val="007F3BF9"/>
    <w:rsid w:val="0080002E"/>
    <w:rsid w:val="008006E8"/>
    <w:rsid w:val="008016F1"/>
    <w:rsid w:val="008041FF"/>
    <w:rsid w:val="0080528D"/>
    <w:rsid w:val="00807173"/>
    <w:rsid w:val="008103E6"/>
    <w:rsid w:val="00814C9C"/>
    <w:rsid w:val="00816D2C"/>
    <w:rsid w:val="008202C4"/>
    <w:rsid w:val="00823314"/>
    <w:rsid w:val="008251FB"/>
    <w:rsid w:val="008253D7"/>
    <w:rsid w:val="0082566D"/>
    <w:rsid w:val="00825E2A"/>
    <w:rsid w:val="008343BB"/>
    <w:rsid w:val="008377D2"/>
    <w:rsid w:val="00837FE8"/>
    <w:rsid w:val="008414BC"/>
    <w:rsid w:val="00842986"/>
    <w:rsid w:val="008457D4"/>
    <w:rsid w:val="00851820"/>
    <w:rsid w:val="00851EE1"/>
    <w:rsid w:val="00853401"/>
    <w:rsid w:val="0085708B"/>
    <w:rsid w:val="0086310B"/>
    <w:rsid w:val="00871062"/>
    <w:rsid w:val="00873F16"/>
    <w:rsid w:val="008760BE"/>
    <w:rsid w:val="00876661"/>
    <w:rsid w:val="0087728C"/>
    <w:rsid w:val="00880D1B"/>
    <w:rsid w:val="00886478"/>
    <w:rsid w:val="00886C0E"/>
    <w:rsid w:val="00887F3A"/>
    <w:rsid w:val="00890038"/>
    <w:rsid w:val="00892A17"/>
    <w:rsid w:val="008934DB"/>
    <w:rsid w:val="008A288D"/>
    <w:rsid w:val="008B0144"/>
    <w:rsid w:val="008B3D58"/>
    <w:rsid w:val="008B5406"/>
    <w:rsid w:val="008B6765"/>
    <w:rsid w:val="008C013A"/>
    <w:rsid w:val="008C10CE"/>
    <w:rsid w:val="008C5206"/>
    <w:rsid w:val="008C6E3F"/>
    <w:rsid w:val="008D1817"/>
    <w:rsid w:val="008D1828"/>
    <w:rsid w:val="008D5A58"/>
    <w:rsid w:val="008E27D8"/>
    <w:rsid w:val="008E58AC"/>
    <w:rsid w:val="008F02AC"/>
    <w:rsid w:val="008F0F79"/>
    <w:rsid w:val="008F27C1"/>
    <w:rsid w:val="008F457B"/>
    <w:rsid w:val="008F4F2E"/>
    <w:rsid w:val="008F53E1"/>
    <w:rsid w:val="008F6944"/>
    <w:rsid w:val="00902607"/>
    <w:rsid w:val="00904ED8"/>
    <w:rsid w:val="00907740"/>
    <w:rsid w:val="00913571"/>
    <w:rsid w:val="00915A63"/>
    <w:rsid w:val="00915ABF"/>
    <w:rsid w:val="00920444"/>
    <w:rsid w:val="009226FC"/>
    <w:rsid w:val="00923167"/>
    <w:rsid w:val="009240D9"/>
    <w:rsid w:val="00924C3F"/>
    <w:rsid w:val="00926522"/>
    <w:rsid w:val="00931287"/>
    <w:rsid w:val="00941C7A"/>
    <w:rsid w:val="0094434A"/>
    <w:rsid w:val="00945A61"/>
    <w:rsid w:val="009479EF"/>
    <w:rsid w:val="00950DBB"/>
    <w:rsid w:val="00963F8F"/>
    <w:rsid w:val="009677FD"/>
    <w:rsid w:val="00976905"/>
    <w:rsid w:val="00976C7E"/>
    <w:rsid w:val="00976E6C"/>
    <w:rsid w:val="00981FA2"/>
    <w:rsid w:val="00985FBF"/>
    <w:rsid w:val="009914B2"/>
    <w:rsid w:val="00992BFA"/>
    <w:rsid w:val="009941B8"/>
    <w:rsid w:val="009943E8"/>
    <w:rsid w:val="009A0A5A"/>
    <w:rsid w:val="009A1433"/>
    <w:rsid w:val="009A3B19"/>
    <w:rsid w:val="009A3EED"/>
    <w:rsid w:val="009A493D"/>
    <w:rsid w:val="009A5887"/>
    <w:rsid w:val="009A78A4"/>
    <w:rsid w:val="009B14F2"/>
    <w:rsid w:val="009B1A6C"/>
    <w:rsid w:val="009B482D"/>
    <w:rsid w:val="009B57F7"/>
    <w:rsid w:val="009B71BE"/>
    <w:rsid w:val="009C5E6A"/>
    <w:rsid w:val="009C7BB0"/>
    <w:rsid w:val="009D1658"/>
    <w:rsid w:val="009D4370"/>
    <w:rsid w:val="009D43A7"/>
    <w:rsid w:val="009E56DB"/>
    <w:rsid w:val="009E6F3C"/>
    <w:rsid w:val="009E70B9"/>
    <w:rsid w:val="009F0489"/>
    <w:rsid w:val="00A017E8"/>
    <w:rsid w:val="00A03FD7"/>
    <w:rsid w:val="00A05389"/>
    <w:rsid w:val="00A0635C"/>
    <w:rsid w:val="00A118A8"/>
    <w:rsid w:val="00A123BD"/>
    <w:rsid w:val="00A155F5"/>
    <w:rsid w:val="00A17DE5"/>
    <w:rsid w:val="00A2244F"/>
    <w:rsid w:val="00A27F99"/>
    <w:rsid w:val="00A332EA"/>
    <w:rsid w:val="00A43D24"/>
    <w:rsid w:val="00A4644C"/>
    <w:rsid w:val="00A61934"/>
    <w:rsid w:val="00A75ED4"/>
    <w:rsid w:val="00A80058"/>
    <w:rsid w:val="00A81120"/>
    <w:rsid w:val="00A834AB"/>
    <w:rsid w:val="00A84B19"/>
    <w:rsid w:val="00A920BF"/>
    <w:rsid w:val="00A95382"/>
    <w:rsid w:val="00A95B14"/>
    <w:rsid w:val="00A96994"/>
    <w:rsid w:val="00AA008B"/>
    <w:rsid w:val="00AA044A"/>
    <w:rsid w:val="00AA094D"/>
    <w:rsid w:val="00AA18D2"/>
    <w:rsid w:val="00AC5BB6"/>
    <w:rsid w:val="00AC7EFF"/>
    <w:rsid w:val="00AD5568"/>
    <w:rsid w:val="00AD7775"/>
    <w:rsid w:val="00AE183E"/>
    <w:rsid w:val="00AE249F"/>
    <w:rsid w:val="00AE51FE"/>
    <w:rsid w:val="00AF1069"/>
    <w:rsid w:val="00AF5BD3"/>
    <w:rsid w:val="00AF673C"/>
    <w:rsid w:val="00B01CF6"/>
    <w:rsid w:val="00B024E3"/>
    <w:rsid w:val="00B03B3B"/>
    <w:rsid w:val="00B04BDA"/>
    <w:rsid w:val="00B2401D"/>
    <w:rsid w:val="00B2761B"/>
    <w:rsid w:val="00B302A8"/>
    <w:rsid w:val="00B3101F"/>
    <w:rsid w:val="00B372AA"/>
    <w:rsid w:val="00B41653"/>
    <w:rsid w:val="00B41F19"/>
    <w:rsid w:val="00B43A92"/>
    <w:rsid w:val="00B5286E"/>
    <w:rsid w:val="00B53A98"/>
    <w:rsid w:val="00B62DD6"/>
    <w:rsid w:val="00B63563"/>
    <w:rsid w:val="00B64B9E"/>
    <w:rsid w:val="00B72F35"/>
    <w:rsid w:val="00B73902"/>
    <w:rsid w:val="00B74B7D"/>
    <w:rsid w:val="00B776C1"/>
    <w:rsid w:val="00B77F6F"/>
    <w:rsid w:val="00B81040"/>
    <w:rsid w:val="00B905C8"/>
    <w:rsid w:val="00B906C8"/>
    <w:rsid w:val="00B9374E"/>
    <w:rsid w:val="00B955DA"/>
    <w:rsid w:val="00B961DF"/>
    <w:rsid w:val="00BA2115"/>
    <w:rsid w:val="00BA3745"/>
    <w:rsid w:val="00BA7F48"/>
    <w:rsid w:val="00BB7AD0"/>
    <w:rsid w:val="00BC3842"/>
    <w:rsid w:val="00BC7B36"/>
    <w:rsid w:val="00BD04AD"/>
    <w:rsid w:val="00BD11C4"/>
    <w:rsid w:val="00BD2977"/>
    <w:rsid w:val="00BD3762"/>
    <w:rsid w:val="00BD664B"/>
    <w:rsid w:val="00BE1F4A"/>
    <w:rsid w:val="00BE761E"/>
    <w:rsid w:val="00BF11BB"/>
    <w:rsid w:val="00BF12AA"/>
    <w:rsid w:val="00BF174A"/>
    <w:rsid w:val="00BF2A6D"/>
    <w:rsid w:val="00C013AF"/>
    <w:rsid w:val="00C05CF3"/>
    <w:rsid w:val="00C14114"/>
    <w:rsid w:val="00C15D35"/>
    <w:rsid w:val="00C16843"/>
    <w:rsid w:val="00C170E4"/>
    <w:rsid w:val="00C17FC7"/>
    <w:rsid w:val="00C25321"/>
    <w:rsid w:val="00C25656"/>
    <w:rsid w:val="00C25D17"/>
    <w:rsid w:val="00C26296"/>
    <w:rsid w:val="00C3504C"/>
    <w:rsid w:val="00C4120B"/>
    <w:rsid w:val="00C43ABD"/>
    <w:rsid w:val="00C50836"/>
    <w:rsid w:val="00C54082"/>
    <w:rsid w:val="00C54C18"/>
    <w:rsid w:val="00C562CE"/>
    <w:rsid w:val="00C65A5F"/>
    <w:rsid w:val="00C65E5E"/>
    <w:rsid w:val="00C66C80"/>
    <w:rsid w:val="00C66F68"/>
    <w:rsid w:val="00C671D2"/>
    <w:rsid w:val="00C67DCC"/>
    <w:rsid w:val="00C711FE"/>
    <w:rsid w:val="00C85736"/>
    <w:rsid w:val="00C91E79"/>
    <w:rsid w:val="00C924DB"/>
    <w:rsid w:val="00C94807"/>
    <w:rsid w:val="00CA2A26"/>
    <w:rsid w:val="00CA3672"/>
    <w:rsid w:val="00CA7722"/>
    <w:rsid w:val="00CA7F7A"/>
    <w:rsid w:val="00CB213A"/>
    <w:rsid w:val="00CB5240"/>
    <w:rsid w:val="00CC19CA"/>
    <w:rsid w:val="00CC44F7"/>
    <w:rsid w:val="00CC4974"/>
    <w:rsid w:val="00CC4F07"/>
    <w:rsid w:val="00CC6114"/>
    <w:rsid w:val="00CC6F15"/>
    <w:rsid w:val="00CD519E"/>
    <w:rsid w:val="00CD55F0"/>
    <w:rsid w:val="00CD6E61"/>
    <w:rsid w:val="00CD6F3B"/>
    <w:rsid w:val="00CD6FC2"/>
    <w:rsid w:val="00CF6307"/>
    <w:rsid w:val="00D00160"/>
    <w:rsid w:val="00D01943"/>
    <w:rsid w:val="00D02D77"/>
    <w:rsid w:val="00D052D0"/>
    <w:rsid w:val="00D07CDB"/>
    <w:rsid w:val="00D129DC"/>
    <w:rsid w:val="00D16BFD"/>
    <w:rsid w:val="00D23D5E"/>
    <w:rsid w:val="00D26566"/>
    <w:rsid w:val="00D32B17"/>
    <w:rsid w:val="00D36F7A"/>
    <w:rsid w:val="00D37D4F"/>
    <w:rsid w:val="00D41F41"/>
    <w:rsid w:val="00D4585A"/>
    <w:rsid w:val="00D4697D"/>
    <w:rsid w:val="00D508B4"/>
    <w:rsid w:val="00D53D25"/>
    <w:rsid w:val="00D632AF"/>
    <w:rsid w:val="00D639C8"/>
    <w:rsid w:val="00D7062E"/>
    <w:rsid w:val="00D713BE"/>
    <w:rsid w:val="00D80018"/>
    <w:rsid w:val="00D8492C"/>
    <w:rsid w:val="00D85730"/>
    <w:rsid w:val="00D94430"/>
    <w:rsid w:val="00D94594"/>
    <w:rsid w:val="00D968A9"/>
    <w:rsid w:val="00DA0749"/>
    <w:rsid w:val="00DA2158"/>
    <w:rsid w:val="00DA4F95"/>
    <w:rsid w:val="00DA6BA2"/>
    <w:rsid w:val="00DB42CB"/>
    <w:rsid w:val="00DB7658"/>
    <w:rsid w:val="00DC03CC"/>
    <w:rsid w:val="00DC4E8D"/>
    <w:rsid w:val="00DC5643"/>
    <w:rsid w:val="00DC7EA1"/>
    <w:rsid w:val="00DD3294"/>
    <w:rsid w:val="00DE4C39"/>
    <w:rsid w:val="00DE65C8"/>
    <w:rsid w:val="00DF388F"/>
    <w:rsid w:val="00DF5D11"/>
    <w:rsid w:val="00E00892"/>
    <w:rsid w:val="00E02178"/>
    <w:rsid w:val="00E022EB"/>
    <w:rsid w:val="00E04628"/>
    <w:rsid w:val="00E04A8E"/>
    <w:rsid w:val="00E07A16"/>
    <w:rsid w:val="00E126F9"/>
    <w:rsid w:val="00E12E8F"/>
    <w:rsid w:val="00E14E50"/>
    <w:rsid w:val="00E15635"/>
    <w:rsid w:val="00E23546"/>
    <w:rsid w:val="00E254B3"/>
    <w:rsid w:val="00E25B00"/>
    <w:rsid w:val="00E271DA"/>
    <w:rsid w:val="00E37BE4"/>
    <w:rsid w:val="00E41F3F"/>
    <w:rsid w:val="00E432E5"/>
    <w:rsid w:val="00E47D8F"/>
    <w:rsid w:val="00E50AB3"/>
    <w:rsid w:val="00E52C58"/>
    <w:rsid w:val="00E5483B"/>
    <w:rsid w:val="00E60C4F"/>
    <w:rsid w:val="00E62C31"/>
    <w:rsid w:val="00E63DA1"/>
    <w:rsid w:val="00E6419D"/>
    <w:rsid w:val="00E71DA8"/>
    <w:rsid w:val="00E72E97"/>
    <w:rsid w:val="00E73E17"/>
    <w:rsid w:val="00E8049B"/>
    <w:rsid w:val="00E83D98"/>
    <w:rsid w:val="00E91E18"/>
    <w:rsid w:val="00E95FF4"/>
    <w:rsid w:val="00EA2F6B"/>
    <w:rsid w:val="00EB5475"/>
    <w:rsid w:val="00EB61C5"/>
    <w:rsid w:val="00EB6807"/>
    <w:rsid w:val="00EC033F"/>
    <w:rsid w:val="00EC7D92"/>
    <w:rsid w:val="00ED6B8D"/>
    <w:rsid w:val="00EE25D3"/>
    <w:rsid w:val="00EE2F57"/>
    <w:rsid w:val="00EE6643"/>
    <w:rsid w:val="00EE7375"/>
    <w:rsid w:val="00F002BF"/>
    <w:rsid w:val="00F10063"/>
    <w:rsid w:val="00F10557"/>
    <w:rsid w:val="00F126A4"/>
    <w:rsid w:val="00F14E3D"/>
    <w:rsid w:val="00F250ED"/>
    <w:rsid w:val="00F27345"/>
    <w:rsid w:val="00F31543"/>
    <w:rsid w:val="00F32FA6"/>
    <w:rsid w:val="00F40901"/>
    <w:rsid w:val="00F46D63"/>
    <w:rsid w:val="00F50C03"/>
    <w:rsid w:val="00F546DB"/>
    <w:rsid w:val="00F5656E"/>
    <w:rsid w:val="00F5785F"/>
    <w:rsid w:val="00F6107E"/>
    <w:rsid w:val="00F66236"/>
    <w:rsid w:val="00F66463"/>
    <w:rsid w:val="00F73F97"/>
    <w:rsid w:val="00F76BCA"/>
    <w:rsid w:val="00F817D9"/>
    <w:rsid w:val="00F828C3"/>
    <w:rsid w:val="00F843B7"/>
    <w:rsid w:val="00F87A14"/>
    <w:rsid w:val="00F9476A"/>
    <w:rsid w:val="00FA0822"/>
    <w:rsid w:val="00FA15E6"/>
    <w:rsid w:val="00FA2924"/>
    <w:rsid w:val="00FA2F7A"/>
    <w:rsid w:val="00FA35EA"/>
    <w:rsid w:val="00FA7F2D"/>
    <w:rsid w:val="00FB09D8"/>
    <w:rsid w:val="00FB69A6"/>
    <w:rsid w:val="00FC5000"/>
    <w:rsid w:val="00FC6D34"/>
    <w:rsid w:val="00FD1CD2"/>
    <w:rsid w:val="00FD22EE"/>
    <w:rsid w:val="00FD72B1"/>
    <w:rsid w:val="00FE1441"/>
    <w:rsid w:val="00FE466B"/>
    <w:rsid w:val="00FF44C7"/>
    <w:rsid w:val="00FF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9DC"/>
    <w:rPr>
      <w:rFonts w:ascii="Arial" w:hAnsi="Arial"/>
      <w:sz w:val="22"/>
      <w:szCs w:val="22"/>
    </w:rPr>
  </w:style>
  <w:style w:type="paragraph" w:styleId="Heading1">
    <w:name w:val="heading 1"/>
    <w:basedOn w:val="Normal"/>
    <w:next w:val="Normal"/>
    <w:link w:val="Heading1Char"/>
    <w:qFormat/>
    <w:rsid w:val="00D129DC"/>
    <w:pPr>
      <w:keepNext/>
      <w:jc w:val="both"/>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65E5E"/>
    <w:rPr>
      <w:rFonts w:ascii="Cambria" w:hAnsi="Cambria" w:cs="Times New Roman"/>
      <w:b/>
      <w:bCs/>
      <w:kern w:val="32"/>
      <w:sz w:val="32"/>
      <w:szCs w:val="32"/>
    </w:rPr>
  </w:style>
  <w:style w:type="paragraph" w:styleId="Title">
    <w:name w:val="Title"/>
    <w:basedOn w:val="Normal"/>
    <w:link w:val="TitleChar"/>
    <w:qFormat/>
    <w:rsid w:val="00D129DC"/>
    <w:pPr>
      <w:jc w:val="center"/>
    </w:pPr>
    <w:rPr>
      <w:rFonts w:ascii="Cambria" w:hAnsi="Cambria"/>
      <w:b/>
      <w:bCs/>
      <w:kern w:val="28"/>
      <w:sz w:val="32"/>
      <w:szCs w:val="32"/>
    </w:rPr>
  </w:style>
  <w:style w:type="character" w:customStyle="1" w:styleId="TitleChar">
    <w:name w:val="Title Char"/>
    <w:link w:val="Title"/>
    <w:locked/>
    <w:rsid w:val="00C65E5E"/>
    <w:rPr>
      <w:rFonts w:ascii="Cambria" w:hAnsi="Cambria" w:cs="Times New Roman"/>
      <w:b/>
      <w:bCs/>
      <w:kern w:val="28"/>
      <w:sz w:val="32"/>
      <w:szCs w:val="32"/>
    </w:rPr>
  </w:style>
  <w:style w:type="paragraph" w:styleId="BodyText">
    <w:name w:val="Body Text"/>
    <w:basedOn w:val="Normal"/>
    <w:link w:val="BodyTextChar"/>
    <w:rsid w:val="00D129DC"/>
    <w:pPr>
      <w:jc w:val="both"/>
    </w:pPr>
    <w:rPr>
      <w:sz w:val="20"/>
      <w:szCs w:val="20"/>
    </w:rPr>
  </w:style>
  <w:style w:type="character" w:customStyle="1" w:styleId="BodyTextChar">
    <w:name w:val="Body Text Char"/>
    <w:link w:val="BodyText"/>
    <w:semiHidden/>
    <w:locked/>
    <w:rsid w:val="00C65E5E"/>
    <w:rPr>
      <w:rFonts w:ascii="Arial" w:hAnsi="Arial" w:cs="Times New Roman"/>
    </w:rPr>
  </w:style>
  <w:style w:type="paragraph" w:styleId="BalloonText">
    <w:name w:val="Balloon Text"/>
    <w:basedOn w:val="Normal"/>
    <w:link w:val="BalloonTextChar"/>
    <w:semiHidden/>
    <w:rsid w:val="00D129DC"/>
    <w:rPr>
      <w:rFonts w:ascii="Times New Roman" w:hAnsi="Times New Roman"/>
      <w:sz w:val="2"/>
      <w:szCs w:val="20"/>
    </w:rPr>
  </w:style>
  <w:style w:type="character" w:customStyle="1" w:styleId="BalloonTextChar">
    <w:name w:val="Balloon Text Char"/>
    <w:link w:val="BalloonText"/>
    <w:semiHidden/>
    <w:locked/>
    <w:rsid w:val="00C65E5E"/>
    <w:rPr>
      <w:rFonts w:cs="Times New Roman"/>
      <w:sz w:val="2"/>
    </w:rPr>
  </w:style>
  <w:style w:type="paragraph" w:styleId="Footer">
    <w:name w:val="footer"/>
    <w:basedOn w:val="Normal"/>
    <w:link w:val="FooterChar"/>
    <w:rsid w:val="00505924"/>
    <w:pPr>
      <w:tabs>
        <w:tab w:val="center" w:pos="4153"/>
        <w:tab w:val="right" w:pos="8306"/>
      </w:tabs>
    </w:pPr>
    <w:rPr>
      <w:sz w:val="20"/>
      <w:szCs w:val="20"/>
    </w:rPr>
  </w:style>
  <w:style w:type="character" w:customStyle="1" w:styleId="FooterChar">
    <w:name w:val="Footer Char"/>
    <w:link w:val="Footer"/>
    <w:semiHidden/>
    <w:locked/>
    <w:rsid w:val="00C65E5E"/>
    <w:rPr>
      <w:rFonts w:ascii="Arial" w:hAnsi="Arial" w:cs="Times New Roman"/>
    </w:rPr>
  </w:style>
  <w:style w:type="character" w:styleId="PageNumber">
    <w:name w:val="page number"/>
    <w:rsid w:val="00505924"/>
    <w:rPr>
      <w:rFonts w:cs="Times New Roman"/>
    </w:rPr>
  </w:style>
  <w:style w:type="character" w:styleId="Hyperlink">
    <w:name w:val="Hyperlink"/>
    <w:rsid w:val="00FD72B1"/>
    <w:rPr>
      <w:rFonts w:cs="Times New Roman"/>
      <w:color w:val="0000FF"/>
      <w:u w:val="single"/>
    </w:rPr>
  </w:style>
  <w:style w:type="character" w:styleId="FollowedHyperlink">
    <w:name w:val="FollowedHyperlink"/>
    <w:rsid w:val="00FD72B1"/>
    <w:rPr>
      <w:rFonts w:cs="Times New Roman"/>
      <w:color w:val="800080"/>
      <w:u w:val="single"/>
    </w:rPr>
  </w:style>
  <w:style w:type="table" w:styleId="TableGrid">
    <w:name w:val="Table Grid"/>
    <w:basedOn w:val="TableNormal"/>
    <w:rsid w:val="0085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A5C21"/>
    <w:pPr>
      <w:shd w:val="clear" w:color="auto" w:fill="000080"/>
    </w:pPr>
    <w:rPr>
      <w:rFonts w:ascii="Times New Roman" w:hAnsi="Times New Roman"/>
      <w:sz w:val="2"/>
      <w:szCs w:val="20"/>
    </w:rPr>
  </w:style>
  <w:style w:type="character" w:customStyle="1" w:styleId="DocumentMapChar">
    <w:name w:val="Document Map Char"/>
    <w:link w:val="DocumentMap"/>
    <w:semiHidden/>
    <w:locked/>
    <w:rsid w:val="00C65E5E"/>
    <w:rPr>
      <w:rFonts w:cs="Times New Roman"/>
      <w:sz w:val="2"/>
    </w:rPr>
  </w:style>
  <w:style w:type="paragraph" w:styleId="Header">
    <w:name w:val="header"/>
    <w:basedOn w:val="Normal"/>
    <w:link w:val="HeaderChar"/>
    <w:rsid w:val="00A95B14"/>
    <w:pPr>
      <w:tabs>
        <w:tab w:val="center" w:pos="4513"/>
        <w:tab w:val="right" w:pos="9026"/>
      </w:tabs>
    </w:pPr>
  </w:style>
  <w:style w:type="character" w:customStyle="1" w:styleId="HeaderChar">
    <w:name w:val="Header Char"/>
    <w:link w:val="Header"/>
    <w:locked/>
    <w:rsid w:val="00A95B14"/>
    <w:rPr>
      <w:rFonts w:ascii="Arial" w:hAnsi="Arial" w:cs="Times New Roman"/>
      <w:sz w:val="22"/>
      <w:szCs w:val="22"/>
    </w:rPr>
  </w:style>
  <w:style w:type="paragraph" w:styleId="ListParagraph">
    <w:name w:val="List Paragraph"/>
    <w:basedOn w:val="Normal"/>
    <w:uiPriority w:val="34"/>
    <w:qFormat/>
    <w:rsid w:val="00EE6643"/>
    <w:pPr>
      <w:ind w:left="720"/>
    </w:pPr>
  </w:style>
  <w:style w:type="character" w:styleId="CommentReference">
    <w:name w:val="annotation reference"/>
    <w:rsid w:val="00CC19CA"/>
    <w:rPr>
      <w:sz w:val="16"/>
      <w:szCs w:val="16"/>
    </w:rPr>
  </w:style>
  <w:style w:type="paragraph" w:styleId="CommentText">
    <w:name w:val="annotation text"/>
    <w:basedOn w:val="Normal"/>
    <w:link w:val="CommentTextChar"/>
    <w:rsid w:val="00CC19CA"/>
    <w:rPr>
      <w:sz w:val="20"/>
      <w:szCs w:val="20"/>
    </w:rPr>
  </w:style>
  <w:style w:type="character" w:customStyle="1" w:styleId="CommentTextChar">
    <w:name w:val="Comment Text Char"/>
    <w:link w:val="CommentText"/>
    <w:rsid w:val="00CC19CA"/>
    <w:rPr>
      <w:rFonts w:ascii="Arial" w:hAnsi="Arial"/>
    </w:rPr>
  </w:style>
  <w:style w:type="paragraph" w:styleId="CommentSubject">
    <w:name w:val="annotation subject"/>
    <w:basedOn w:val="CommentText"/>
    <w:next w:val="CommentText"/>
    <w:link w:val="CommentSubjectChar"/>
    <w:rsid w:val="00CC19CA"/>
    <w:rPr>
      <w:b/>
      <w:bCs/>
    </w:rPr>
  </w:style>
  <w:style w:type="character" w:customStyle="1" w:styleId="CommentSubjectChar">
    <w:name w:val="Comment Subject Char"/>
    <w:link w:val="CommentSubject"/>
    <w:rsid w:val="00CC19C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9DC"/>
    <w:rPr>
      <w:rFonts w:ascii="Arial" w:hAnsi="Arial"/>
      <w:sz w:val="22"/>
      <w:szCs w:val="22"/>
    </w:rPr>
  </w:style>
  <w:style w:type="paragraph" w:styleId="Heading1">
    <w:name w:val="heading 1"/>
    <w:basedOn w:val="Normal"/>
    <w:next w:val="Normal"/>
    <w:link w:val="Heading1Char"/>
    <w:qFormat/>
    <w:rsid w:val="00D129DC"/>
    <w:pPr>
      <w:keepNext/>
      <w:jc w:val="both"/>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Title">
    <w:name w:val="Title"/>
    <w:basedOn w:val="Normal"/>
    <w:link w:val="TitleChar"/>
    <w:qFormat/>
    <w:rsid w:val="00D129DC"/>
    <w:pPr>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bCs/>
      <w:kern w:val="28"/>
      <w:sz w:val="32"/>
      <w:szCs w:val="32"/>
    </w:rPr>
  </w:style>
  <w:style w:type="paragraph" w:styleId="BodyText">
    <w:name w:val="Body Text"/>
    <w:basedOn w:val="Normal"/>
    <w:link w:val="BodyTextChar"/>
    <w:rsid w:val="00D129DC"/>
    <w:pPr>
      <w:jc w:val="both"/>
    </w:pPr>
    <w:rPr>
      <w:sz w:val="20"/>
      <w:szCs w:val="20"/>
    </w:rPr>
  </w:style>
  <w:style w:type="character" w:customStyle="1" w:styleId="BodyTextChar">
    <w:name w:val="Body Text Char"/>
    <w:link w:val="BodyText"/>
    <w:semiHidden/>
    <w:locked/>
    <w:rPr>
      <w:rFonts w:ascii="Arial" w:hAnsi="Arial" w:cs="Times New Roman"/>
    </w:rPr>
  </w:style>
  <w:style w:type="paragraph" w:styleId="BalloonText">
    <w:name w:val="Balloon Text"/>
    <w:basedOn w:val="Normal"/>
    <w:link w:val="BalloonTextChar"/>
    <w:semiHidden/>
    <w:rsid w:val="00D129DC"/>
    <w:rPr>
      <w:rFonts w:ascii="Times New Roman" w:hAnsi="Times New Roman"/>
      <w:sz w:val="2"/>
      <w:szCs w:val="20"/>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rsid w:val="00505924"/>
    <w:pPr>
      <w:tabs>
        <w:tab w:val="center" w:pos="4153"/>
        <w:tab w:val="right" w:pos="8306"/>
      </w:tabs>
    </w:pPr>
    <w:rPr>
      <w:sz w:val="20"/>
      <w:szCs w:val="20"/>
    </w:rPr>
  </w:style>
  <w:style w:type="character" w:customStyle="1" w:styleId="FooterChar">
    <w:name w:val="Footer Char"/>
    <w:link w:val="Footer"/>
    <w:semiHidden/>
    <w:locked/>
    <w:rPr>
      <w:rFonts w:ascii="Arial" w:hAnsi="Arial" w:cs="Times New Roman"/>
    </w:rPr>
  </w:style>
  <w:style w:type="character" w:styleId="PageNumber">
    <w:name w:val="page number"/>
    <w:rsid w:val="00505924"/>
    <w:rPr>
      <w:rFonts w:cs="Times New Roman"/>
    </w:rPr>
  </w:style>
  <w:style w:type="character" w:styleId="Hyperlink">
    <w:name w:val="Hyperlink"/>
    <w:rsid w:val="00FD72B1"/>
    <w:rPr>
      <w:rFonts w:cs="Times New Roman"/>
      <w:color w:val="0000FF"/>
      <w:u w:val="single"/>
    </w:rPr>
  </w:style>
  <w:style w:type="character" w:styleId="FollowedHyperlink">
    <w:name w:val="FollowedHyperlink"/>
    <w:rsid w:val="00FD72B1"/>
    <w:rPr>
      <w:rFonts w:cs="Times New Roman"/>
      <w:color w:val="800080"/>
      <w:u w:val="single"/>
    </w:rPr>
  </w:style>
  <w:style w:type="table" w:styleId="TableGrid">
    <w:name w:val="Table Grid"/>
    <w:basedOn w:val="TableNormal"/>
    <w:rsid w:val="0085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A5C21"/>
    <w:pPr>
      <w:shd w:val="clear" w:color="auto" w:fill="000080"/>
    </w:pPr>
    <w:rPr>
      <w:rFonts w:ascii="Times New Roman" w:hAnsi="Times New Roman"/>
      <w:sz w:val="2"/>
      <w:szCs w:val="20"/>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A95B14"/>
    <w:pPr>
      <w:tabs>
        <w:tab w:val="center" w:pos="4513"/>
        <w:tab w:val="right" w:pos="9026"/>
      </w:tabs>
    </w:pPr>
  </w:style>
  <w:style w:type="character" w:customStyle="1" w:styleId="HeaderChar">
    <w:name w:val="Header Char"/>
    <w:link w:val="Header"/>
    <w:locked/>
    <w:rsid w:val="00A95B14"/>
    <w:rPr>
      <w:rFonts w:ascii="Arial" w:hAnsi="Arial" w:cs="Times New Roman"/>
      <w:sz w:val="22"/>
      <w:szCs w:val="22"/>
    </w:rPr>
  </w:style>
  <w:style w:type="paragraph" w:styleId="ListParagraph">
    <w:name w:val="List Paragraph"/>
    <w:basedOn w:val="Normal"/>
    <w:uiPriority w:val="34"/>
    <w:qFormat/>
    <w:rsid w:val="00EE6643"/>
    <w:pPr>
      <w:ind w:left="720"/>
    </w:pPr>
  </w:style>
  <w:style w:type="character" w:styleId="CommentReference">
    <w:name w:val="annotation reference"/>
    <w:rsid w:val="00CC19CA"/>
    <w:rPr>
      <w:sz w:val="16"/>
      <w:szCs w:val="16"/>
    </w:rPr>
  </w:style>
  <w:style w:type="paragraph" w:styleId="CommentText">
    <w:name w:val="annotation text"/>
    <w:basedOn w:val="Normal"/>
    <w:link w:val="CommentTextChar"/>
    <w:rsid w:val="00CC19CA"/>
    <w:rPr>
      <w:sz w:val="20"/>
      <w:szCs w:val="20"/>
    </w:rPr>
  </w:style>
  <w:style w:type="character" w:customStyle="1" w:styleId="CommentTextChar">
    <w:name w:val="Comment Text Char"/>
    <w:link w:val="CommentText"/>
    <w:rsid w:val="00CC19CA"/>
    <w:rPr>
      <w:rFonts w:ascii="Arial" w:hAnsi="Arial"/>
    </w:rPr>
  </w:style>
  <w:style w:type="paragraph" w:styleId="CommentSubject">
    <w:name w:val="annotation subject"/>
    <w:basedOn w:val="CommentText"/>
    <w:next w:val="CommentText"/>
    <w:link w:val="CommentSubjectChar"/>
    <w:rsid w:val="00CC19CA"/>
    <w:rPr>
      <w:b/>
      <w:bCs/>
    </w:rPr>
  </w:style>
  <w:style w:type="character" w:customStyle="1" w:styleId="CommentSubjectChar">
    <w:name w:val="Comment Subject Char"/>
    <w:link w:val="CommentSubject"/>
    <w:rsid w:val="00CC19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8409879">
      <w:bodyDiv w:val="1"/>
      <w:marLeft w:val="0"/>
      <w:marRight w:val="0"/>
      <w:marTop w:val="0"/>
      <w:marBottom w:val="0"/>
      <w:divBdr>
        <w:top w:val="none" w:sz="0" w:space="0" w:color="auto"/>
        <w:left w:val="none" w:sz="0" w:space="0" w:color="auto"/>
        <w:bottom w:val="none" w:sz="0" w:space="0" w:color="auto"/>
        <w:right w:val="none" w:sz="0" w:space="0" w:color="auto"/>
      </w:divBdr>
    </w:div>
    <w:div w:id="440227472">
      <w:bodyDiv w:val="1"/>
      <w:marLeft w:val="0"/>
      <w:marRight w:val="0"/>
      <w:marTop w:val="0"/>
      <w:marBottom w:val="0"/>
      <w:divBdr>
        <w:top w:val="none" w:sz="0" w:space="0" w:color="auto"/>
        <w:left w:val="none" w:sz="0" w:space="0" w:color="auto"/>
        <w:bottom w:val="none" w:sz="0" w:space="0" w:color="auto"/>
        <w:right w:val="none" w:sz="0" w:space="0" w:color="auto"/>
      </w:divBdr>
    </w:div>
    <w:div w:id="588854206">
      <w:bodyDiv w:val="1"/>
      <w:marLeft w:val="0"/>
      <w:marRight w:val="0"/>
      <w:marTop w:val="0"/>
      <w:marBottom w:val="0"/>
      <w:divBdr>
        <w:top w:val="none" w:sz="0" w:space="0" w:color="auto"/>
        <w:left w:val="none" w:sz="0" w:space="0" w:color="auto"/>
        <w:bottom w:val="none" w:sz="0" w:space="0" w:color="auto"/>
        <w:right w:val="none" w:sz="0" w:space="0" w:color="auto"/>
      </w:divBdr>
    </w:div>
    <w:div w:id="656694420">
      <w:bodyDiv w:val="1"/>
      <w:marLeft w:val="0"/>
      <w:marRight w:val="0"/>
      <w:marTop w:val="0"/>
      <w:marBottom w:val="0"/>
      <w:divBdr>
        <w:top w:val="none" w:sz="0" w:space="0" w:color="auto"/>
        <w:left w:val="none" w:sz="0" w:space="0" w:color="auto"/>
        <w:bottom w:val="none" w:sz="0" w:space="0" w:color="auto"/>
        <w:right w:val="none" w:sz="0" w:space="0" w:color="auto"/>
      </w:divBdr>
    </w:div>
    <w:div w:id="682513209">
      <w:bodyDiv w:val="1"/>
      <w:marLeft w:val="0"/>
      <w:marRight w:val="0"/>
      <w:marTop w:val="0"/>
      <w:marBottom w:val="0"/>
      <w:divBdr>
        <w:top w:val="none" w:sz="0" w:space="0" w:color="auto"/>
        <w:left w:val="none" w:sz="0" w:space="0" w:color="auto"/>
        <w:bottom w:val="none" w:sz="0" w:space="0" w:color="auto"/>
        <w:right w:val="none" w:sz="0" w:space="0" w:color="auto"/>
      </w:divBdr>
    </w:div>
    <w:div w:id="918754575">
      <w:bodyDiv w:val="1"/>
      <w:marLeft w:val="0"/>
      <w:marRight w:val="0"/>
      <w:marTop w:val="0"/>
      <w:marBottom w:val="0"/>
      <w:divBdr>
        <w:top w:val="none" w:sz="0" w:space="0" w:color="auto"/>
        <w:left w:val="none" w:sz="0" w:space="0" w:color="auto"/>
        <w:bottom w:val="none" w:sz="0" w:space="0" w:color="auto"/>
        <w:right w:val="none" w:sz="0" w:space="0" w:color="auto"/>
      </w:divBdr>
      <w:divsChild>
        <w:div w:id="1495490208">
          <w:marLeft w:val="0"/>
          <w:marRight w:val="0"/>
          <w:marTop w:val="0"/>
          <w:marBottom w:val="0"/>
          <w:divBdr>
            <w:top w:val="none" w:sz="0" w:space="0" w:color="auto"/>
            <w:left w:val="none" w:sz="0" w:space="0" w:color="auto"/>
            <w:bottom w:val="none" w:sz="0" w:space="0" w:color="auto"/>
            <w:right w:val="none" w:sz="0" w:space="0" w:color="auto"/>
          </w:divBdr>
        </w:div>
      </w:divsChild>
    </w:div>
    <w:div w:id="922643595">
      <w:bodyDiv w:val="1"/>
      <w:marLeft w:val="0"/>
      <w:marRight w:val="0"/>
      <w:marTop w:val="0"/>
      <w:marBottom w:val="0"/>
      <w:divBdr>
        <w:top w:val="none" w:sz="0" w:space="0" w:color="auto"/>
        <w:left w:val="none" w:sz="0" w:space="0" w:color="auto"/>
        <w:bottom w:val="none" w:sz="0" w:space="0" w:color="auto"/>
        <w:right w:val="none" w:sz="0" w:space="0" w:color="auto"/>
      </w:divBdr>
    </w:div>
    <w:div w:id="1068192373">
      <w:bodyDiv w:val="1"/>
      <w:marLeft w:val="0"/>
      <w:marRight w:val="0"/>
      <w:marTop w:val="0"/>
      <w:marBottom w:val="0"/>
      <w:divBdr>
        <w:top w:val="none" w:sz="0" w:space="0" w:color="auto"/>
        <w:left w:val="none" w:sz="0" w:space="0" w:color="auto"/>
        <w:bottom w:val="none" w:sz="0" w:space="0" w:color="auto"/>
        <w:right w:val="none" w:sz="0" w:space="0" w:color="auto"/>
      </w:divBdr>
    </w:div>
    <w:div w:id="1122068261">
      <w:bodyDiv w:val="1"/>
      <w:marLeft w:val="0"/>
      <w:marRight w:val="0"/>
      <w:marTop w:val="0"/>
      <w:marBottom w:val="0"/>
      <w:divBdr>
        <w:top w:val="none" w:sz="0" w:space="0" w:color="auto"/>
        <w:left w:val="none" w:sz="0" w:space="0" w:color="auto"/>
        <w:bottom w:val="none" w:sz="0" w:space="0" w:color="auto"/>
        <w:right w:val="none" w:sz="0" w:space="0" w:color="auto"/>
      </w:divBdr>
    </w:div>
    <w:div w:id="1369527552">
      <w:bodyDiv w:val="1"/>
      <w:marLeft w:val="0"/>
      <w:marRight w:val="0"/>
      <w:marTop w:val="0"/>
      <w:marBottom w:val="0"/>
      <w:divBdr>
        <w:top w:val="none" w:sz="0" w:space="0" w:color="auto"/>
        <w:left w:val="none" w:sz="0" w:space="0" w:color="auto"/>
        <w:bottom w:val="none" w:sz="0" w:space="0" w:color="auto"/>
        <w:right w:val="none" w:sz="0" w:space="0" w:color="auto"/>
      </w:divBdr>
    </w:div>
    <w:div w:id="1613054600">
      <w:bodyDiv w:val="1"/>
      <w:marLeft w:val="0"/>
      <w:marRight w:val="0"/>
      <w:marTop w:val="0"/>
      <w:marBottom w:val="0"/>
      <w:divBdr>
        <w:top w:val="none" w:sz="0" w:space="0" w:color="auto"/>
        <w:left w:val="none" w:sz="0" w:space="0" w:color="auto"/>
        <w:bottom w:val="none" w:sz="0" w:space="0" w:color="auto"/>
        <w:right w:val="none" w:sz="0" w:space="0" w:color="auto"/>
      </w:divBdr>
    </w:div>
    <w:div w:id="1754163893">
      <w:bodyDiv w:val="1"/>
      <w:marLeft w:val="0"/>
      <w:marRight w:val="0"/>
      <w:marTop w:val="0"/>
      <w:marBottom w:val="0"/>
      <w:divBdr>
        <w:top w:val="none" w:sz="0" w:space="0" w:color="auto"/>
        <w:left w:val="none" w:sz="0" w:space="0" w:color="auto"/>
        <w:bottom w:val="none" w:sz="0" w:space="0" w:color="auto"/>
        <w:right w:val="none" w:sz="0" w:space="0" w:color="auto"/>
      </w:divBdr>
    </w:div>
    <w:div w:id="1778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1295</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of the North Yorkshire Rural Housing Enablers Network – 11th September 2008</vt:lpstr>
    </vt:vector>
  </TitlesOfParts>
  <Company>Hambleton District Council</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North Yorkshire Rural Housing Enablers Network – 11th September 2008</dc:title>
  <dc:creator>Sarah Hall</dc:creator>
  <cp:lastModifiedBy>Sarah Hall</cp:lastModifiedBy>
  <cp:revision>3</cp:revision>
  <cp:lastPrinted>2009-01-19T12:48:00Z</cp:lastPrinted>
  <dcterms:created xsi:type="dcterms:W3CDTF">2016-05-03T14:52:00Z</dcterms:created>
  <dcterms:modified xsi:type="dcterms:W3CDTF">2016-08-18T12:50:00Z</dcterms:modified>
</cp:coreProperties>
</file>